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研究生答辩须知</w:t>
      </w:r>
    </w:p>
    <w:p>
      <w:pPr>
        <w:rPr>
          <w:rFonts w:hint="eastAsia"/>
          <w:b/>
          <w:sz w:val="24"/>
        </w:rPr>
      </w:pPr>
      <w:r>
        <w:rPr>
          <w:rFonts w:hint="eastAsia"/>
          <w:b/>
          <w:sz w:val="24"/>
        </w:rPr>
        <w:t>一、基本要求：</w:t>
      </w:r>
    </w:p>
    <w:p>
      <w:pPr>
        <w:rPr>
          <w:rFonts w:hint="eastAsia"/>
          <w:szCs w:val="21"/>
        </w:rPr>
      </w:pPr>
      <w:r>
        <w:rPr>
          <w:rFonts w:hint="eastAsia"/>
          <w:szCs w:val="21"/>
        </w:rPr>
        <w:t>（一）严格按照研究生院有关规定开展研究生学位论文答辩工作。</w:t>
      </w:r>
    </w:p>
    <w:p>
      <w:pPr>
        <w:rPr>
          <w:rFonts w:hint="eastAsia"/>
          <w:szCs w:val="21"/>
        </w:rPr>
      </w:pPr>
      <w:r>
        <w:rPr>
          <w:rFonts w:hint="eastAsia"/>
          <w:szCs w:val="21"/>
        </w:rPr>
        <w:t>（二）研究生学位论文答辩工作必须在导师确认定稿后方可进行。</w:t>
      </w:r>
    </w:p>
    <w:p>
      <w:pPr>
        <w:rPr>
          <w:rFonts w:hint="eastAsia"/>
          <w:szCs w:val="21"/>
        </w:rPr>
      </w:pPr>
      <w:r>
        <w:rPr>
          <w:rFonts w:hint="eastAsia"/>
          <w:szCs w:val="21"/>
        </w:rPr>
        <w:t>（三）硕士生采用相对集中答辩的方式，由学科组织答辩；博士生由学科安排答辩时间。</w:t>
      </w:r>
    </w:p>
    <w:p>
      <w:pPr>
        <w:rPr>
          <w:szCs w:val="21"/>
        </w:rPr>
      </w:pPr>
      <w:r>
        <w:rPr>
          <w:rFonts w:hint="eastAsia"/>
          <w:szCs w:val="21"/>
        </w:rPr>
        <w:t>（四）每场答辩人数硕士生最多6人；博士生最多3人。</w:t>
      </w:r>
    </w:p>
    <w:p>
      <w:pPr>
        <w:rPr>
          <w:szCs w:val="21"/>
        </w:rPr>
      </w:pPr>
      <w:r>
        <w:rPr>
          <w:rFonts w:hint="eastAsia"/>
          <w:sz w:val="24"/>
        </w:rPr>
        <w:t xml:space="preserve"> </w:t>
      </w:r>
      <w:r>
        <w:rPr>
          <w:rFonts w:hint="eastAsia"/>
          <w:szCs w:val="21"/>
        </w:rPr>
        <w:t>(五)</w:t>
      </w:r>
      <w:r>
        <w:rPr>
          <w:szCs w:val="21"/>
        </w:rPr>
        <w:t>研究生学位论文答辩费用</w:t>
      </w:r>
      <w:r>
        <w:rPr>
          <w:rFonts w:hint="eastAsia"/>
          <w:szCs w:val="21"/>
        </w:rPr>
        <w:t>标准</w:t>
      </w:r>
      <w:r>
        <w:rPr>
          <w:szCs w:val="21"/>
        </w:rPr>
        <w:t>：</w:t>
      </w:r>
      <w:r>
        <w:rPr>
          <w:rFonts w:hint="eastAsia"/>
          <w:szCs w:val="21"/>
        </w:rPr>
        <w:t>硕士论文评阅、答辩费均为100元/本，答辩秘书为100元/人，答辩活动费每次不超过300元。博士</w:t>
      </w:r>
      <w:r>
        <w:rPr>
          <w:rFonts w:hint="eastAsia"/>
          <w:color w:val="000000" w:themeColor="text1"/>
          <w:szCs w:val="21"/>
          <w14:textFill>
            <w14:solidFill>
              <w14:schemeClr w14:val="tx1"/>
            </w14:solidFill>
          </w14:textFill>
        </w:rPr>
        <w:t>论文盲审评阅费</w:t>
      </w:r>
      <w:bookmarkStart w:id="0" w:name="_GoBack"/>
      <w:bookmarkEnd w:id="0"/>
      <w:r>
        <w:rPr>
          <w:rFonts w:hint="eastAsia"/>
          <w:color w:val="000000" w:themeColor="text1"/>
          <w:szCs w:val="21"/>
          <w14:textFill>
            <w14:solidFill>
              <w14:schemeClr w14:val="tx1"/>
            </w14:solidFill>
          </w14:textFill>
        </w:rPr>
        <w:t>为400元/本，答辩费为300元/本，答</w:t>
      </w:r>
      <w:r>
        <w:rPr>
          <w:rFonts w:hint="eastAsia"/>
          <w:szCs w:val="21"/>
        </w:rPr>
        <w:t>辩秘书为100元/人，答辩活动费每次不超过800元。</w:t>
      </w:r>
    </w:p>
    <w:p>
      <w:pPr>
        <w:rPr>
          <w:szCs w:val="21"/>
        </w:rPr>
      </w:pPr>
      <w:r>
        <w:rPr>
          <w:rFonts w:hint="eastAsia"/>
          <w:szCs w:val="21"/>
        </w:rPr>
        <w:t xml:space="preserve"> (六)不提倡学生答辩</w:t>
      </w:r>
      <w:r>
        <w:rPr>
          <w:szCs w:val="21"/>
        </w:rPr>
        <w:t>结束后</w:t>
      </w:r>
      <w:r>
        <w:rPr>
          <w:rFonts w:hint="eastAsia"/>
          <w:szCs w:val="21"/>
        </w:rPr>
        <w:t>举办</w:t>
      </w:r>
      <w:r>
        <w:rPr>
          <w:szCs w:val="21"/>
        </w:rPr>
        <w:t>谢师宴请。</w:t>
      </w:r>
    </w:p>
    <w:p>
      <w:pPr>
        <w:rPr>
          <w:rFonts w:hint="eastAsia"/>
          <w:szCs w:val="21"/>
        </w:rPr>
      </w:pPr>
    </w:p>
    <w:p>
      <w:pPr>
        <w:rPr>
          <w:rFonts w:hint="eastAsia"/>
          <w:b/>
          <w:sz w:val="24"/>
        </w:rPr>
      </w:pPr>
    </w:p>
    <w:p>
      <w:pPr>
        <w:rPr>
          <w:rFonts w:hint="eastAsia"/>
          <w:b/>
          <w:sz w:val="24"/>
        </w:rPr>
      </w:pPr>
      <w:r>
        <w:rPr>
          <w:rFonts w:hint="eastAsia"/>
          <w:b/>
          <w:sz w:val="24"/>
        </w:rPr>
        <w:t>二、答辩程序：</w:t>
      </w:r>
    </w:p>
    <w:p>
      <w:pPr>
        <w:rPr>
          <w:rFonts w:hint="eastAsia"/>
          <w:b/>
          <w:sz w:val="24"/>
        </w:rPr>
      </w:pPr>
      <w:r>
        <w:rPr>
          <w:rFonts w:hint="eastAsia"/>
          <w:b/>
          <w:sz w:val="24"/>
        </w:rPr>
        <w:t>（一）申请答辩</w:t>
      </w:r>
    </w:p>
    <w:p>
      <w:pPr>
        <w:ind w:firstLine="422" w:firstLineChars="200"/>
        <w:rPr>
          <w:rFonts w:hint="eastAsia"/>
          <w:b/>
          <w:szCs w:val="21"/>
        </w:rPr>
      </w:pPr>
      <w:r>
        <w:rPr>
          <w:rFonts w:hint="eastAsia"/>
          <w:b/>
          <w:szCs w:val="21"/>
        </w:rPr>
        <w:t>博士研究生：</w:t>
      </w:r>
    </w:p>
    <w:p>
      <w:pPr>
        <w:pStyle w:val="9"/>
        <w:ind w:left="420" w:firstLine="0" w:firstLineChars="0"/>
        <w:rPr>
          <w:rFonts w:hint="eastAsia"/>
          <w:szCs w:val="21"/>
        </w:rPr>
      </w:pPr>
      <w:r>
        <w:rPr>
          <w:rFonts w:ascii="Times New Roman" w:hAnsi="Times New Roman"/>
          <w:szCs w:val="21"/>
        </w:rPr>
        <w:t>1、</w:t>
      </w:r>
      <w:r>
        <w:rPr>
          <w:rFonts w:hint="eastAsia"/>
          <w:szCs w:val="21"/>
        </w:rPr>
        <w:t>博士研究生在申请答辩前必须进行学位论文查重和预答辩。</w:t>
      </w:r>
    </w:p>
    <w:p>
      <w:pPr>
        <w:pStyle w:val="9"/>
        <w:ind w:left="420" w:firstLine="0" w:firstLineChars="0"/>
        <w:rPr>
          <w:rFonts w:hint="eastAsia"/>
          <w:szCs w:val="21"/>
        </w:rPr>
      </w:pPr>
      <w:r>
        <w:rPr>
          <w:rFonts w:hint="eastAsia"/>
        </w:rPr>
        <w:t>（</w:t>
      </w:r>
      <w:r>
        <w:rPr>
          <w:rFonts w:ascii="Times New Roman" w:hAnsi="Times New Roman"/>
        </w:rPr>
        <w:t>1</w:t>
      </w:r>
      <w:r>
        <w:rPr>
          <w:rFonts w:hint="eastAsia"/>
        </w:rPr>
        <w:t>）学位论文查重最迟应在预答辩前三天提交，由人文学院研办负责查重。凡学位论文查重未通过者两星期后</w:t>
      </w:r>
    </w:p>
    <w:p>
      <w:pPr>
        <w:pStyle w:val="9"/>
        <w:ind w:firstLine="0" w:firstLineChars="0"/>
        <w:rPr>
          <w:rFonts w:hint="eastAsia"/>
          <w:szCs w:val="21"/>
        </w:rPr>
      </w:pPr>
      <w:r>
        <w:rPr>
          <w:rFonts w:hint="eastAsia"/>
        </w:rPr>
        <w:t>才能再次申请查重。</w:t>
      </w:r>
    </w:p>
    <w:p>
      <w:pPr>
        <w:pStyle w:val="9"/>
        <w:ind w:left="420" w:firstLine="0" w:firstLineChars="0"/>
        <w:rPr>
          <w:rFonts w:hint="eastAsia"/>
          <w:szCs w:val="21"/>
        </w:rPr>
      </w:pPr>
      <w:r>
        <w:rPr>
          <w:rFonts w:hint="eastAsia"/>
        </w:rPr>
        <w:t>（</w:t>
      </w:r>
      <w:r>
        <w:rPr>
          <w:rFonts w:ascii="Times New Roman" w:hAnsi="Times New Roman"/>
        </w:rPr>
        <w:t>2</w:t>
      </w:r>
      <w:r>
        <w:rPr>
          <w:rFonts w:hint="eastAsia"/>
        </w:rPr>
        <w:t>）学位论文查重通过者最迟应在申请答辩前一周进行学位论文预答辩，由所在学科组织。凡预答辩未通过者</w:t>
      </w:r>
    </w:p>
    <w:p>
      <w:pPr>
        <w:pStyle w:val="9"/>
        <w:ind w:firstLine="0" w:firstLineChars="0"/>
        <w:rPr>
          <w:rFonts w:hint="eastAsia"/>
          <w:szCs w:val="21"/>
        </w:rPr>
      </w:pPr>
      <w:r>
        <w:rPr>
          <w:rFonts w:hint="eastAsia"/>
        </w:rPr>
        <w:t>三个月后才能再次申请预答辩。</w:t>
      </w:r>
    </w:p>
    <w:p>
      <w:pPr>
        <w:pStyle w:val="9"/>
        <w:ind w:left="420" w:firstLine="0" w:firstLineChars="0"/>
        <w:rPr>
          <w:rFonts w:hint="eastAsia" w:ascii="宋体" w:hAnsi="宋体"/>
          <w:szCs w:val="21"/>
        </w:rPr>
      </w:pPr>
      <w:r>
        <w:rPr>
          <w:rFonts w:hint="eastAsia"/>
        </w:rPr>
        <w:t>（</w:t>
      </w:r>
      <w:r>
        <w:rPr>
          <w:rFonts w:ascii="Times New Roman" w:hAnsi="Times New Roman"/>
        </w:rPr>
        <w:t>3</w:t>
      </w:r>
      <w:r>
        <w:rPr>
          <w:rFonts w:hint="eastAsia"/>
        </w:rPr>
        <w:t>）学位论文查重报告中“</w:t>
      </w:r>
      <w:r>
        <w:rPr>
          <w:rFonts w:hint="eastAsia" w:ascii="宋体" w:hAnsi="宋体" w:cs="新宋体"/>
          <w:kern w:val="0"/>
          <w:szCs w:val="21"/>
        </w:rPr>
        <w:t>排除参考文献相似比</w:t>
      </w:r>
      <w:r>
        <w:rPr>
          <w:rFonts w:hint="eastAsia"/>
          <w:szCs w:val="21"/>
        </w:rPr>
        <w:t>”低于15%且预答辩“通过”者，填写</w:t>
      </w:r>
      <w:r>
        <w:rPr>
          <w:rFonts w:hint="eastAsia" w:ascii="宋体" w:hAnsi="宋体"/>
          <w:szCs w:val="21"/>
        </w:rPr>
        <w:t>《人文学院博士生学位</w:t>
      </w:r>
    </w:p>
    <w:p>
      <w:pPr>
        <w:pStyle w:val="9"/>
        <w:ind w:firstLine="0" w:firstLineChars="0"/>
        <w:rPr>
          <w:rFonts w:hint="eastAsia" w:ascii="宋体" w:hAnsi="宋体"/>
          <w:szCs w:val="21"/>
        </w:rPr>
      </w:pPr>
      <w:r>
        <w:rPr>
          <w:rFonts w:hint="eastAsia" w:ascii="宋体" w:hAnsi="宋体"/>
          <w:szCs w:val="21"/>
        </w:rPr>
        <w:t>论文查重、预答辩情况表》后，</w:t>
      </w:r>
      <w:r>
        <w:rPr>
          <w:rFonts w:hint="eastAsia"/>
          <w:szCs w:val="21"/>
        </w:rPr>
        <w:t>方可申请答辩。</w:t>
      </w:r>
      <w:r>
        <w:rPr>
          <w:rFonts w:hint="eastAsia"/>
        </w:rPr>
        <w:t>此表一式两份，一份在申请答辩时提交研究生院学位办；一份人文学院研办留存。</w:t>
      </w:r>
    </w:p>
    <w:p>
      <w:pPr>
        <w:ind w:firstLine="420" w:firstLineChars="200"/>
        <w:rPr>
          <w:rFonts w:hint="eastAsia"/>
          <w:color w:val="FF0000"/>
          <w:szCs w:val="21"/>
        </w:rPr>
      </w:pPr>
      <w:r>
        <w:rPr>
          <w:rFonts w:hint="eastAsia"/>
          <w:szCs w:val="21"/>
        </w:rPr>
        <w:t>2、博士研究生向院研办提交“东南大学博士研究生答辩申请材料审核表”（两份）及有关材料，经审核合格后,按照《</w:t>
      </w:r>
      <w:r>
        <w:fldChar w:fldCharType="begin"/>
      </w:r>
      <w:r>
        <w:instrText xml:space="preserve"> HYPERLINK "http://seugs.seu.edu.cn/8e/74/c3687a36468/page.htm" \t "_blank" \o "东南大学博士研究生论文答辩及学位申请流程图" </w:instrText>
      </w:r>
      <w:r>
        <w:fldChar w:fldCharType="separate"/>
      </w:r>
      <w:r>
        <w:rPr>
          <w:rFonts w:hint="eastAsia"/>
          <w:szCs w:val="21"/>
        </w:rPr>
        <w:t>东南大学博士研究生论文答辩及学位申请流程图</w:t>
      </w:r>
      <w:r>
        <w:rPr>
          <w:rFonts w:hint="eastAsia"/>
          <w:szCs w:val="21"/>
        </w:rPr>
        <w:fldChar w:fldCharType="end"/>
      </w:r>
      <w:r>
        <w:rPr>
          <w:rFonts w:hint="eastAsia"/>
          <w:szCs w:val="21"/>
        </w:rPr>
        <w:t>》的要求到四牌楼</w:t>
      </w:r>
      <w:r>
        <w:rPr>
          <w:szCs w:val="21"/>
        </w:rPr>
        <w:t>校区</w:t>
      </w:r>
      <w:r>
        <w:rPr>
          <w:rFonts w:hint="eastAsia"/>
          <w:szCs w:val="21"/>
        </w:rPr>
        <w:t>研究生院学位办按规定申请答辩。</w:t>
      </w:r>
    </w:p>
    <w:p>
      <w:pPr>
        <w:ind w:firstLine="422" w:firstLineChars="200"/>
        <w:rPr>
          <w:rFonts w:hint="eastAsia"/>
          <w:b/>
          <w:szCs w:val="21"/>
        </w:rPr>
      </w:pPr>
      <w:r>
        <w:rPr>
          <w:rFonts w:hint="eastAsia"/>
          <w:b/>
          <w:szCs w:val="21"/>
        </w:rPr>
        <w:t>硕士研究生：</w:t>
      </w:r>
    </w:p>
    <w:p>
      <w:pPr>
        <w:ind w:firstLine="420" w:firstLineChars="200"/>
        <w:rPr>
          <w:rFonts w:hint="eastAsia"/>
          <w:szCs w:val="21"/>
        </w:rPr>
      </w:pPr>
      <w:r>
        <w:rPr>
          <w:rFonts w:hint="eastAsia"/>
          <w:szCs w:val="21"/>
        </w:rPr>
        <w:t>请准备好以下材料后到院研办申请答辩：</w:t>
      </w:r>
    </w:p>
    <w:p>
      <w:pPr>
        <w:ind w:firstLine="420" w:firstLineChars="200"/>
        <w:rPr>
          <w:rFonts w:hint="eastAsia"/>
          <w:szCs w:val="21"/>
        </w:rPr>
      </w:pPr>
      <w:r>
        <w:rPr>
          <w:rFonts w:hint="eastAsia"/>
          <w:szCs w:val="21"/>
        </w:rPr>
        <w:t>1、学位论文电子版：学位论文电子版用于查重。凡</w:t>
      </w:r>
      <w:r>
        <w:rPr>
          <w:rFonts w:hint="eastAsia"/>
        </w:rPr>
        <w:t>学位论文查重报告中“</w:t>
      </w:r>
      <w:r>
        <w:rPr>
          <w:rFonts w:hint="eastAsia" w:ascii="宋体" w:hAnsi="宋体" w:cs="新宋体"/>
          <w:kern w:val="0"/>
          <w:szCs w:val="21"/>
        </w:rPr>
        <w:t>排除参考文献相似比</w:t>
      </w:r>
      <w:r>
        <w:rPr>
          <w:rFonts w:hint="eastAsia"/>
          <w:szCs w:val="21"/>
        </w:rPr>
        <w:t>”低于15%者，方可申请答辩；未达到要求者，经修改两周后再次进行查重，第二次未达要求者，经修改一个月后再进行查重。</w:t>
      </w:r>
    </w:p>
    <w:p>
      <w:pPr>
        <w:wordWrap w:val="0"/>
        <w:ind w:firstLine="420" w:firstLineChars="200"/>
        <w:rPr>
          <w:rFonts w:hint="eastAsia" w:ascii="宋体" w:hAnsi="宋体" w:cs="宋体"/>
          <w:kern w:val="0"/>
          <w:szCs w:val="21"/>
        </w:rPr>
      </w:pPr>
      <w:r>
        <w:rPr>
          <w:rFonts w:hint="eastAsia"/>
          <w:szCs w:val="21"/>
        </w:rPr>
        <w:t>2、两份答辩申请表（</w:t>
      </w:r>
      <w:r>
        <w:rPr>
          <w:rFonts w:hint="eastAsia"/>
          <w:color w:val="000000"/>
          <w:szCs w:val="21"/>
        </w:rPr>
        <w:t>网上个人信息系统中</w:t>
      </w:r>
      <w:r>
        <w:rPr>
          <w:rFonts w:hint="eastAsia"/>
          <w:szCs w:val="21"/>
        </w:rPr>
        <w:t>打印）。</w:t>
      </w:r>
    </w:p>
    <w:p>
      <w:pPr>
        <w:ind w:firstLine="420" w:firstLineChars="200"/>
        <w:rPr>
          <w:rFonts w:hint="eastAsia" w:ascii="宋体" w:hAnsi="宋体"/>
          <w:szCs w:val="21"/>
        </w:rPr>
      </w:pPr>
      <w:r>
        <w:rPr>
          <w:szCs w:val="21"/>
        </w:rPr>
        <w:t>3</w:t>
      </w:r>
      <w:r>
        <w:rPr>
          <w:rFonts w:hint="eastAsia" w:ascii="宋体" w:hAnsi="宋体"/>
          <w:szCs w:val="21"/>
        </w:rPr>
        <w:t>、导师在答辩申请表上写上“已定稿”并签名；如因故委托其他导师签字的，导师务必签署“委托书”附在答辩申请表后。</w:t>
      </w:r>
    </w:p>
    <w:p>
      <w:pPr>
        <w:ind w:firstLine="420" w:firstLineChars="200"/>
        <w:rPr>
          <w:rFonts w:hint="eastAsia" w:ascii="宋体" w:hAnsi="宋体"/>
          <w:szCs w:val="21"/>
        </w:rPr>
      </w:pPr>
      <w:r>
        <w:rPr>
          <w:szCs w:val="21"/>
        </w:rPr>
        <w:t>4</w:t>
      </w:r>
      <w:r>
        <w:rPr>
          <w:rFonts w:hint="eastAsia" w:ascii="宋体" w:hAnsi="宋体"/>
          <w:szCs w:val="21"/>
        </w:rPr>
        <w:t>、</w:t>
      </w:r>
      <w:r>
        <w:rPr>
          <w:rFonts w:hint="eastAsia" w:ascii="宋体" w:hAnsi="宋体" w:cs="宋体"/>
          <w:kern w:val="0"/>
          <w:szCs w:val="21"/>
        </w:rPr>
        <w:t>两本装订成册且符合盲审要求的学位论文</w:t>
      </w:r>
      <w:r>
        <w:rPr>
          <w:rFonts w:hint="eastAsia" w:ascii="宋体" w:hAnsi="宋体"/>
          <w:szCs w:val="21"/>
        </w:rPr>
        <w:t>。</w:t>
      </w:r>
    </w:p>
    <w:p>
      <w:pPr>
        <w:rPr>
          <w:rFonts w:hint="eastAsia"/>
          <w:b/>
          <w:sz w:val="24"/>
        </w:rPr>
      </w:pPr>
    </w:p>
    <w:p>
      <w:pPr>
        <w:rPr>
          <w:rFonts w:hint="eastAsia"/>
          <w:b/>
          <w:sz w:val="24"/>
        </w:rPr>
      </w:pPr>
      <w:r>
        <w:rPr>
          <w:rFonts w:hint="eastAsia"/>
          <w:b/>
          <w:sz w:val="24"/>
        </w:rPr>
        <w:t>（二）准备答辩：</w:t>
      </w:r>
    </w:p>
    <w:p>
      <w:pPr>
        <w:ind w:firstLine="420" w:firstLineChars="200"/>
        <w:rPr>
          <w:rFonts w:hint="eastAsia"/>
          <w:szCs w:val="21"/>
        </w:rPr>
      </w:pPr>
      <w:r>
        <w:rPr>
          <w:rFonts w:hint="eastAsia"/>
          <w:szCs w:val="21"/>
        </w:rPr>
        <w:t>1、博士生答辩准备工作在研究生院完成。博士生均需盲审，按《</w:t>
      </w:r>
      <w:r>
        <w:fldChar w:fldCharType="begin"/>
      </w:r>
      <w:r>
        <w:instrText xml:space="preserve"> HYPERLINK "http://seugs.seu.edu.cn/8e/74/c3687a36468/page.htm" \t "_blank" \o "东南大学博士研究生论文答辩及学位申请流程图" </w:instrText>
      </w:r>
      <w:r>
        <w:fldChar w:fldCharType="separate"/>
      </w:r>
      <w:r>
        <w:rPr>
          <w:rFonts w:hint="eastAsia"/>
          <w:szCs w:val="21"/>
        </w:rPr>
        <w:t>东南大学博士研究生论文答辩及学位申请流程图</w:t>
      </w:r>
      <w:r>
        <w:rPr>
          <w:rFonts w:hint="eastAsia"/>
          <w:szCs w:val="21"/>
        </w:rPr>
        <w:fldChar w:fldCharType="end"/>
      </w:r>
      <w:r>
        <w:rPr>
          <w:rFonts w:hint="eastAsia"/>
          <w:szCs w:val="21"/>
        </w:rPr>
        <w:t>》准备好相应的材料每周二、周五到四牌楼</w:t>
      </w:r>
      <w:r>
        <w:rPr>
          <w:szCs w:val="21"/>
        </w:rPr>
        <w:t>校区</w:t>
      </w:r>
      <w:r>
        <w:rPr>
          <w:rFonts w:hint="eastAsia"/>
          <w:szCs w:val="21"/>
        </w:rPr>
        <w:t>研究生院学位办办理答辩申请手续。</w:t>
      </w:r>
    </w:p>
    <w:p>
      <w:pPr>
        <w:ind w:firstLine="420" w:firstLineChars="200"/>
        <w:rPr>
          <w:rFonts w:hint="eastAsia" w:ascii="宋体" w:hAnsi="宋体" w:cs="宋体"/>
          <w:kern w:val="0"/>
          <w:szCs w:val="21"/>
        </w:rPr>
      </w:pPr>
      <w:r>
        <w:rPr>
          <w:rFonts w:hint="eastAsia"/>
          <w:szCs w:val="21"/>
        </w:rPr>
        <w:t>2、硕士生</w:t>
      </w:r>
      <w:r>
        <w:rPr>
          <w:rFonts w:hint="eastAsia" w:ascii="宋体"/>
          <w:szCs w:val="21"/>
        </w:rPr>
        <w:t>凭两份导师、研究生秘书已签字的“答辩申请表”、</w:t>
      </w:r>
      <w:r>
        <w:rPr>
          <w:rFonts w:hint="eastAsia" w:ascii="宋体" w:hAnsi="宋体" w:cs="宋体"/>
          <w:kern w:val="0"/>
          <w:szCs w:val="21"/>
        </w:rPr>
        <w:t xml:space="preserve"> 两本装订成册且符合盲审要求的学位论文</w:t>
      </w:r>
      <w:r>
        <w:rPr>
          <w:rFonts w:hint="eastAsia"/>
          <w:b/>
          <w:szCs w:val="21"/>
        </w:rPr>
        <w:t>每周二、五</w:t>
      </w:r>
      <w:r>
        <w:rPr>
          <w:rFonts w:hint="eastAsia" w:ascii="宋体"/>
          <w:szCs w:val="21"/>
        </w:rPr>
        <w:t>到研究生院九龙湖校区纪忠楼102室培养办公室查询学位论文是否盲审。被确定盲审的学位论文按要求办理盲审手续；</w:t>
      </w:r>
      <w:r>
        <w:rPr>
          <w:rFonts w:hint="eastAsia" w:ascii="宋体"/>
          <w:color w:val="000000"/>
          <w:szCs w:val="21"/>
        </w:rPr>
        <w:t xml:space="preserve">不盲审的学位论文在送明审时可将匿名送审格式改成一般学位论文格式。 </w:t>
      </w:r>
    </w:p>
    <w:p>
      <w:pPr>
        <w:ind w:left="420" w:leftChars="200"/>
        <w:rPr>
          <w:rFonts w:hint="eastAsia" w:ascii="宋体"/>
          <w:szCs w:val="21"/>
        </w:rPr>
      </w:pPr>
      <w:r>
        <w:rPr>
          <w:rFonts w:hint="eastAsia"/>
          <w:b/>
          <w:szCs w:val="21"/>
        </w:rPr>
        <w:t>盲审论文封面及格式下载地址：</w:t>
      </w:r>
      <w:r>
        <w:rPr>
          <w:b/>
          <w:szCs w:val="21"/>
        </w:rPr>
        <w:t xml:space="preserve"> http://seugs.seu.edu.cn/s/97/t/1707/p/1/c/8830/d/8834/list.htm</w:t>
      </w:r>
    </w:p>
    <w:p>
      <w:pPr>
        <w:ind w:firstLine="420" w:firstLineChars="200"/>
        <w:rPr>
          <w:rFonts w:hint="eastAsia" w:ascii="宋体" w:hAnsi="宋体"/>
          <w:szCs w:val="21"/>
        </w:rPr>
      </w:pPr>
      <w:r>
        <w:rPr>
          <w:rFonts w:hint="eastAsia"/>
          <w:szCs w:val="21"/>
        </w:rPr>
        <w:t>3、</w:t>
      </w:r>
      <w:r>
        <w:rPr>
          <w:rFonts w:hint="eastAsia" w:ascii="宋体" w:hAnsi="宋体"/>
          <w:szCs w:val="21"/>
        </w:rPr>
        <w:t>所有研究生的答辩用成绩单由</w:t>
      </w:r>
      <w:r>
        <w:rPr>
          <w:rFonts w:hint="eastAsia" w:ascii="宋体" w:hAnsi="宋体"/>
          <w:color w:val="000000"/>
          <w:szCs w:val="21"/>
        </w:rPr>
        <w:t>研究生院培</w:t>
      </w:r>
      <w:r>
        <w:rPr>
          <w:rFonts w:hint="eastAsia" w:ascii="宋体" w:hAnsi="宋体"/>
          <w:szCs w:val="21"/>
        </w:rPr>
        <w:t>养办统一打印，成绩单表头为“东南大学研究生院硕士研究生成绩单（答辩）”字样。</w:t>
      </w:r>
    </w:p>
    <w:p>
      <w:pPr>
        <w:ind w:firstLine="420" w:firstLineChars="200"/>
        <w:rPr>
          <w:rFonts w:hint="eastAsia" w:ascii="宋体" w:hAnsi="宋体"/>
          <w:szCs w:val="21"/>
        </w:rPr>
      </w:pPr>
      <w:r>
        <w:rPr>
          <w:rFonts w:hint="eastAsia" w:ascii="宋体" w:hAnsi="宋体"/>
          <w:szCs w:val="21"/>
        </w:rPr>
        <w:t>盲审论文结果已返回的研究生凭“研究生学位论文匿名评阅书”到培养办打印答辩用成绩单（两份）。</w:t>
      </w:r>
      <w:r>
        <w:rPr>
          <w:rFonts w:hint="eastAsia"/>
          <w:szCs w:val="21"/>
        </w:rPr>
        <w:t>再将“评阅书”与“成绩单（答辩）”一起交给系答辩秘书。</w:t>
      </w:r>
    </w:p>
    <w:p>
      <w:pPr>
        <w:ind w:firstLine="420" w:firstLineChars="200"/>
        <w:rPr>
          <w:rFonts w:hint="eastAsia" w:ascii="宋体" w:hAnsi="宋体"/>
          <w:szCs w:val="21"/>
        </w:rPr>
      </w:pPr>
      <w:r>
        <w:rPr>
          <w:rFonts w:hint="eastAsia" w:ascii="宋体" w:hAnsi="宋体"/>
          <w:szCs w:val="21"/>
        </w:rPr>
        <w:t>学位论文不盲审的研究生到培养办领取答辩用成绩单（两份），交给系答辩秘书。</w:t>
      </w:r>
    </w:p>
    <w:p>
      <w:pPr>
        <w:ind w:firstLine="420" w:firstLineChars="200"/>
        <w:rPr>
          <w:rFonts w:hint="eastAsia"/>
          <w:szCs w:val="21"/>
        </w:rPr>
      </w:pPr>
      <w:r>
        <w:rPr>
          <w:rFonts w:hint="eastAsia"/>
          <w:szCs w:val="21"/>
        </w:rPr>
        <w:t>4、答辩秘书在答辩前十天（明审的需前两周）凭硕士生的“成绩单（答辩）”到院研究生秘书处领取《博士（硕士）研究生学位申请书》两份（其中一份为表一，另一份为人事归档用表）、评阅书两份（明审的同学用，表二）。明审评阅书及学位论文务必在答辩前两周由答辩秘书统一送明审专家评审。</w:t>
      </w:r>
    </w:p>
    <w:p>
      <w:pPr>
        <w:ind w:firstLine="420" w:firstLineChars="200"/>
        <w:rPr>
          <w:rFonts w:hint="eastAsia"/>
          <w:szCs w:val="21"/>
        </w:rPr>
      </w:pPr>
      <w:r>
        <w:rPr>
          <w:rFonts w:hint="eastAsia"/>
          <w:szCs w:val="21"/>
        </w:rPr>
        <w:t>5、答辩秘书凭填写好的“申请书”（表一）和返回的“评阅书”（表二）到院研究生秘书处领取表决票（盖章后有效）和答辩评分表（硕士生用）。</w:t>
      </w:r>
    </w:p>
    <w:p>
      <w:pPr>
        <w:rPr>
          <w:rFonts w:hint="eastAsia"/>
          <w:b/>
          <w:szCs w:val="21"/>
        </w:rPr>
      </w:pPr>
    </w:p>
    <w:p>
      <w:pPr>
        <w:rPr>
          <w:rFonts w:hint="eastAsia"/>
          <w:b/>
          <w:sz w:val="24"/>
        </w:rPr>
      </w:pPr>
      <w:r>
        <w:rPr>
          <w:rFonts w:hint="eastAsia"/>
          <w:b/>
          <w:sz w:val="24"/>
        </w:rPr>
        <w:t>（三）答辩：</w:t>
      </w:r>
    </w:p>
    <w:p>
      <w:pPr>
        <w:ind w:firstLine="420" w:firstLineChars="200"/>
        <w:rPr>
          <w:rFonts w:hint="eastAsia"/>
          <w:szCs w:val="21"/>
        </w:rPr>
      </w:pPr>
      <w:r>
        <w:rPr>
          <w:rFonts w:hint="eastAsia"/>
          <w:szCs w:val="21"/>
        </w:rPr>
        <w:t>由各学科组成答辩委员会进行答辩。</w:t>
      </w:r>
    </w:p>
    <w:p>
      <w:pPr>
        <w:ind w:firstLine="420" w:firstLineChars="200"/>
        <w:rPr>
          <w:rFonts w:hint="eastAsia"/>
          <w:szCs w:val="21"/>
        </w:rPr>
      </w:pPr>
      <w:r>
        <w:rPr>
          <w:rFonts w:hint="eastAsia"/>
          <w:szCs w:val="21"/>
        </w:rPr>
        <w:t>答辩工作严格按研究生院有关程序进行。</w:t>
      </w:r>
    </w:p>
    <w:p>
      <w:pPr>
        <w:rPr>
          <w:rFonts w:hint="eastAsia"/>
          <w:b/>
          <w:szCs w:val="21"/>
        </w:rPr>
      </w:pPr>
    </w:p>
    <w:p>
      <w:pPr>
        <w:rPr>
          <w:rFonts w:hint="eastAsia"/>
          <w:b/>
          <w:sz w:val="24"/>
        </w:rPr>
      </w:pPr>
      <w:r>
        <w:rPr>
          <w:rFonts w:hint="eastAsia"/>
          <w:b/>
          <w:sz w:val="24"/>
        </w:rPr>
        <w:t>（四）答辩结束后：</w:t>
      </w:r>
    </w:p>
    <w:p>
      <w:pPr>
        <w:ind w:firstLine="420" w:firstLineChars="200"/>
        <w:rPr>
          <w:rFonts w:hint="eastAsia"/>
          <w:szCs w:val="21"/>
        </w:rPr>
      </w:pPr>
      <w:r>
        <w:rPr>
          <w:rFonts w:hint="eastAsia"/>
          <w:szCs w:val="21"/>
        </w:rPr>
        <w:t>答辩结束后，通过答辩的研究生（包括硕士生和博士生）需做以下工作：</w:t>
      </w:r>
    </w:p>
    <w:p>
      <w:pPr>
        <w:spacing w:line="360" w:lineRule="auto"/>
        <w:ind w:firstLine="420" w:firstLineChars="200"/>
        <w:rPr>
          <w:rFonts w:hint="eastAsia"/>
          <w:szCs w:val="21"/>
        </w:rPr>
      </w:pPr>
      <w:r>
        <w:rPr>
          <w:rFonts w:hint="eastAsia"/>
          <w:szCs w:val="21"/>
        </w:rPr>
        <w:t>1、领取材料袋：</w:t>
      </w:r>
    </w:p>
    <w:p>
      <w:pPr>
        <w:ind w:firstLine="420" w:firstLineChars="200"/>
        <w:rPr>
          <w:rFonts w:hint="eastAsia"/>
          <w:szCs w:val="21"/>
        </w:rPr>
      </w:pPr>
      <w:r>
        <w:rPr>
          <w:rFonts w:hint="eastAsia"/>
          <w:szCs w:val="21"/>
        </w:rPr>
        <w:t>（1）研究生本人到院研办领取材料袋等，材料整理好后装袋。（2）上网录入答辩结果</w:t>
      </w:r>
      <w:r>
        <w:rPr>
          <w:rFonts w:hint="eastAsia"/>
          <w:color w:val="000000"/>
          <w:szCs w:val="21"/>
        </w:rPr>
        <w:t>，同时进行学位申请。</w:t>
      </w:r>
    </w:p>
    <w:p>
      <w:pPr>
        <w:spacing w:line="360" w:lineRule="auto"/>
        <w:ind w:firstLine="420" w:firstLineChars="200"/>
        <w:rPr>
          <w:rFonts w:hint="eastAsia"/>
          <w:szCs w:val="21"/>
        </w:rPr>
      </w:pPr>
      <w:r>
        <w:rPr>
          <w:rFonts w:hint="eastAsia"/>
          <w:szCs w:val="21"/>
        </w:rPr>
        <w:t>2、材料的缴纳和审核</w:t>
      </w:r>
    </w:p>
    <w:p>
      <w:pPr>
        <w:ind w:firstLine="420" w:firstLineChars="200"/>
        <w:rPr>
          <w:rFonts w:hint="eastAsia"/>
          <w:szCs w:val="21"/>
        </w:rPr>
      </w:pPr>
      <w:r>
        <w:rPr>
          <w:rFonts w:hint="eastAsia"/>
          <w:szCs w:val="21"/>
        </w:rPr>
        <w:t>研究生本人将需要交给分委会评学位的材料袋（自备）、“研究生档案材料袋”（研究生院发）、评优材料袋（自备）、应交材料单交院研办审核。两份《博士（硕士）研究生学位申请书》，其中一份为“表一”放入申请学位的材料袋，另一份为“人事归档用表”交院研办113室放入研究生人事档案。</w:t>
      </w:r>
    </w:p>
    <w:p>
      <w:pPr>
        <w:ind w:firstLine="420" w:firstLineChars="200"/>
        <w:rPr>
          <w:rFonts w:hint="eastAsia"/>
          <w:szCs w:val="21"/>
        </w:rPr>
      </w:pPr>
      <w:r>
        <w:rPr>
          <w:rFonts w:hint="eastAsia"/>
          <w:szCs w:val="21"/>
        </w:rPr>
        <w:t>3、办理离校手续：</w:t>
      </w:r>
    </w:p>
    <w:p>
      <w:pPr>
        <w:ind w:firstLine="420" w:firstLineChars="200"/>
        <w:rPr>
          <w:rFonts w:hint="eastAsia"/>
          <w:szCs w:val="21"/>
        </w:rPr>
      </w:pPr>
      <w:r>
        <w:rPr>
          <w:rFonts w:hint="eastAsia"/>
          <w:szCs w:val="21"/>
        </w:rPr>
        <w:t>材料交齐、审核合格后凭填写好的“离校通知单”到院研办办理离校手续。</w:t>
      </w:r>
    </w:p>
    <w:p>
      <w:pPr>
        <w:ind w:firstLine="420" w:firstLineChars="200"/>
        <w:rPr>
          <w:rFonts w:hint="eastAsia"/>
          <w:szCs w:val="21"/>
        </w:rPr>
      </w:pPr>
    </w:p>
    <w:p>
      <w:pPr>
        <w:numPr>
          <w:ilvl w:val="0"/>
          <w:numId w:val="1"/>
        </w:numPr>
        <w:rPr>
          <w:rFonts w:hint="eastAsia"/>
          <w:b/>
          <w:szCs w:val="21"/>
        </w:rPr>
      </w:pPr>
      <w:r>
        <w:rPr>
          <w:rFonts w:hint="eastAsia"/>
          <w:b/>
          <w:szCs w:val="21"/>
        </w:rPr>
        <w:t xml:space="preserve">每周一、四的上午9:00-12:00在九龙湖人文学院研究生办公室（文科楼A211室）办理上述有关事宜。  </w:t>
      </w:r>
    </w:p>
    <w:p>
      <w:pPr>
        <w:numPr>
          <w:ilvl w:val="0"/>
          <w:numId w:val="1"/>
        </w:numPr>
        <w:rPr>
          <w:rFonts w:hint="eastAsia"/>
          <w:b/>
          <w:szCs w:val="21"/>
        </w:rPr>
      </w:pPr>
      <w:r>
        <w:rPr>
          <w:rFonts w:hint="eastAsia"/>
          <w:b/>
          <w:szCs w:val="21"/>
        </w:rPr>
        <w:t>联系电话：52090933</w:t>
      </w:r>
    </w:p>
    <w:p>
      <w:pPr>
        <w:rPr>
          <w:rFonts w:hint="eastAsia"/>
          <w:b/>
          <w:szCs w:val="21"/>
        </w:rPr>
      </w:pPr>
      <w:r>
        <w:rPr>
          <w:rFonts w:hint="eastAsia"/>
          <w:b/>
          <w:szCs w:val="21"/>
        </w:rPr>
        <w:t xml:space="preserve">                                                                      </w:t>
      </w:r>
    </w:p>
    <w:p>
      <w:pPr>
        <w:ind w:firstLine="8707" w:firstLineChars="4130"/>
        <w:rPr>
          <w:rFonts w:hint="eastAsia"/>
          <w:b/>
          <w:szCs w:val="21"/>
        </w:rPr>
      </w:pPr>
      <w:r>
        <w:rPr>
          <w:rFonts w:hint="eastAsia"/>
          <w:b/>
          <w:szCs w:val="21"/>
        </w:rPr>
        <w:t>人文学院</w:t>
      </w:r>
    </w:p>
    <w:p>
      <w:pPr>
        <w:rPr>
          <w:rFonts w:hint="eastAsia"/>
          <w:b/>
          <w:szCs w:val="21"/>
        </w:rPr>
      </w:pPr>
      <w:r>
        <w:rPr>
          <w:rFonts w:hint="eastAsia"/>
          <w:b/>
          <w:szCs w:val="21"/>
        </w:rPr>
        <w:t xml:space="preserve">                                                                                  2016年</w:t>
      </w:r>
      <w:r>
        <w:rPr>
          <w:rFonts w:hint="eastAsia"/>
          <w:b/>
          <w:szCs w:val="21"/>
          <w:lang w:val="en-US" w:eastAsia="zh-CN"/>
        </w:rPr>
        <w:t>11</w:t>
      </w:r>
      <w:r>
        <w:rPr>
          <w:rFonts w:hint="eastAsia"/>
          <w:b/>
          <w:szCs w:val="21"/>
        </w:rPr>
        <w:t>月31日</w:t>
      </w:r>
    </w:p>
    <w:p>
      <w:pPr>
        <w:rPr>
          <w:rFonts w:hint="eastAsia"/>
          <w:b/>
          <w:szCs w:val="21"/>
        </w:rPr>
      </w:pPr>
      <w:r>
        <w:rPr>
          <w:rFonts w:hint="eastAsia"/>
          <w:b/>
          <w:szCs w:val="21"/>
        </w:rPr>
        <w:t xml:space="preserve">                                        </w:t>
      </w:r>
    </w:p>
    <w:sectPr>
      <w:pgSz w:w="11906" w:h="16838"/>
      <w:pgMar w:top="284" w:right="567" w:bottom="284"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E6446"/>
    <w:multiLevelType w:val="multilevel"/>
    <w:tmpl w:val="344E6446"/>
    <w:lvl w:ilvl="0" w:tentative="0">
      <w:start w:val="1"/>
      <w:numFmt w:val="bullet"/>
      <w:lvlText w:val="★"/>
      <w:lvlJc w:val="left"/>
      <w:pPr>
        <w:tabs>
          <w:tab w:val="left" w:pos="773"/>
        </w:tabs>
        <w:ind w:left="773" w:hanging="360"/>
      </w:pPr>
      <w:rPr>
        <w:rFonts w:hint="eastAsia" w:ascii="宋体" w:hAnsi="宋体" w:eastAsia="宋体" w:cs="Times New Roman"/>
      </w:rPr>
    </w:lvl>
    <w:lvl w:ilvl="1" w:tentative="0">
      <w:start w:val="1"/>
      <w:numFmt w:val="bullet"/>
      <w:lvlText w:val=""/>
      <w:lvlJc w:val="left"/>
      <w:pPr>
        <w:tabs>
          <w:tab w:val="left" w:pos="1253"/>
        </w:tabs>
        <w:ind w:left="1253" w:hanging="420"/>
      </w:pPr>
      <w:rPr>
        <w:rFonts w:hint="default" w:ascii="Wingdings" w:hAnsi="Wingdings"/>
      </w:rPr>
    </w:lvl>
    <w:lvl w:ilvl="2" w:tentative="0">
      <w:start w:val="1"/>
      <w:numFmt w:val="bullet"/>
      <w:lvlText w:val=""/>
      <w:lvlJc w:val="left"/>
      <w:pPr>
        <w:tabs>
          <w:tab w:val="left" w:pos="1673"/>
        </w:tabs>
        <w:ind w:left="1673" w:hanging="420"/>
      </w:pPr>
      <w:rPr>
        <w:rFonts w:hint="default" w:ascii="Wingdings" w:hAnsi="Wingdings"/>
      </w:rPr>
    </w:lvl>
    <w:lvl w:ilvl="3" w:tentative="0">
      <w:start w:val="1"/>
      <w:numFmt w:val="bullet"/>
      <w:lvlText w:val=""/>
      <w:lvlJc w:val="left"/>
      <w:pPr>
        <w:tabs>
          <w:tab w:val="left" w:pos="2093"/>
        </w:tabs>
        <w:ind w:left="2093" w:hanging="420"/>
      </w:pPr>
      <w:rPr>
        <w:rFonts w:hint="default" w:ascii="Wingdings" w:hAnsi="Wingdings"/>
      </w:rPr>
    </w:lvl>
    <w:lvl w:ilvl="4" w:tentative="0">
      <w:start w:val="1"/>
      <w:numFmt w:val="bullet"/>
      <w:lvlText w:val=""/>
      <w:lvlJc w:val="left"/>
      <w:pPr>
        <w:tabs>
          <w:tab w:val="left" w:pos="2513"/>
        </w:tabs>
        <w:ind w:left="2513" w:hanging="420"/>
      </w:pPr>
      <w:rPr>
        <w:rFonts w:hint="default" w:ascii="Wingdings" w:hAnsi="Wingdings"/>
      </w:rPr>
    </w:lvl>
    <w:lvl w:ilvl="5" w:tentative="0">
      <w:start w:val="1"/>
      <w:numFmt w:val="bullet"/>
      <w:lvlText w:val=""/>
      <w:lvlJc w:val="left"/>
      <w:pPr>
        <w:tabs>
          <w:tab w:val="left" w:pos="2933"/>
        </w:tabs>
        <w:ind w:left="2933" w:hanging="420"/>
      </w:pPr>
      <w:rPr>
        <w:rFonts w:hint="default" w:ascii="Wingdings" w:hAnsi="Wingdings"/>
      </w:rPr>
    </w:lvl>
    <w:lvl w:ilvl="6" w:tentative="0">
      <w:start w:val="1"/>
      <w:numFmt w:val="bullet"/>
      <w:lvlText w:val=""/>
      <w:lvlJc w:val="left"/>
      <w:pPr>
        <w:tabs>
          <w:tab w:val="left" w:pos="3353"/>
        </w:tabs>
        <w:ind w:left="3353" w:hanging="420"/>
      </w:pPr>
      <w:rPr>
        <w:rFonts w:hint="default" w:ascii="Wingdings" w:hAnsi="Wingdings"/>
      </w:rPr>
    </w:lvl>
    <w:lvl w:ilvl="7" w:tentative="0">
      <w:start w:val="1"/>
      <w:numFmt w:val="bullet"/>
      <w:lvlText w:val=""/>
      <w:lvlJc w:val="left"/>
      <w:pPr>
        <w:tabs>
          <w:tab w:val="left" w:pos="3773"/>
        </w:tabs>
        <w:ind w:left="3773" w:hanging="420"/>
      </w:pPr>
      <w:rPr>
        <w:rFonts w:hint="default" w:ascii="Wingdings" w:hAnsi="Wingdings"/>
      </w:rPr>
    </w:lvl>
    <w:lvl w:ilvl="8" w:tentative="0">
      <w:start w:val="1"/>
      <w:numFmt w:val="bullet"/>
      <w:lvlText w:val=""/>
      <w:lvlJc w:val="left"/>
      <w:pPr>
        <w:tabs>
          <w:tab w:val="left" w:pos="4193"/>
        </w:tabs>
        <w:ind w:left="4193"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3629"/>
    <w:rsid w:val="00003F18"/>
    <w:rsid w:val="000157CE"/>
    <w:rsid w:val="00022392"/>
    <w:rsid w:val="000900DB"/>
    <w:rsid w:val="00114B5C"/>
    <w:rsid w:val="001C698C"/>
    <w:rsid w:val="002567FC"/>
    <w:rsid w:val="002601D6"/>
    <w:rsid w:val="002E2160"/>
    <w:rsid w:val="00315A2A"/>
    <w:rsid w:val="003743E1"/>
    <w:rsid w:val="00387868"/>
    <w:rsid w:val="00482630"/>
    <w:rsid w:val="004A492C"/>
    <w:rsid w:val="004D4DA9"/>
    <w:rsid w:val="005364FA"/>
    <w:rsid w:val="005652D9"/>
    <w:rsid w:val="00591021"/>
    <w:rsid w:val="005C1133"/>
    <w:rsid w:val="005F3629"/>
    <w:rsid w:val="00720001"/>
    <w:rsid w:val="00771BBE"/>
    <w:rsid w:val="00787941"/>
    <w:rsid w:val="00840673"/>
    <w:rsid w:val="0089679F"/>
    <w:rsid w:val="009524B7"/>
    <w:rsid w:val="00A2611F"/>
    <w:rsid w:val="00A9767C"/>
    <w:rsid w:val="00AA00C5"/>
    <w:rsid w:val="00AA1E29"/>
    <w:rsid w:val="00AD06BC"/>
    <w:rsid w:val="00B21231"/>
    <w:rsid w:val="00B9127A"/>
    <w:rsid w:val="00C44E98"/>
    <w:rsid w:val="00C52A76"/>
    <w:rsid w:val="00C91B33"/>
    <w:rsid w:val="00CF4A59"/>
    <w:rsid w:val="00D0675D"/>
    <w:rsid w:val="00D71826"/>
    <w:rsid w:val="00D85E0C"/>
    <w:rsid w:val="00DC0E52"/>
    <w:rsid w:val="00E7456A"/>
    <w:rsid w:val="00E84123"/>
    <w:rsid w:val="00EA1BEA"/>
    <w:rsid w:val="00EC628A"/>
    <w:rsid w:val="00ED36B5"/>
    <w:rsid w:val="00F3274D"/>
    <w:rsid w:val="00F94800"/>
    <w:rsid w:val="00F966E1"/>
    <w:rsid w:val="00FC16C5"/>
    <w:rsid w:val="5FA72D2E"/>
    <w:rsid w:val="6F352B98"/>
  </w:rsids>
  <m:mathPr>
    <m:lMargin m:val="0"/>
    <m:mathFont m:val="Cambria Math"/>
    <m:rMargin m:val="0"/>
    <m:wrapIndent m:val="1440"/>
    <m:brkBin m:val="before"/>
    <m:brkBinSub m:val="--"/>
    <m:defJc m:val="centerGroup"/>
    <m:intLim m:val="subSup"/>
    <m:naryLim m:val="undOvr"/>
    <m:smallFrac m:val="off"/>
    <m:dispDef/>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Hyperlink"/>
    <w:qFormat/>
    <w:uiPriority w:val="0"/>
    <w:rPr>
      <w:color w:val="0000FF"/>
      <w:u w:val="single"/>
    </w:rPr>
  </w:style>
  <w:style w:type="character" w:customStyle="1" w:styleId="7">
    <w:name w:val="页脚 Char"/>
    <w:link w:val="2"/>
    <w:qFormat/>
    <w:uiPriority w:val="0"/>
    <w:rPr>
      <w:kern w:val="2"/>
      <w:sz w:val="18"/>
      <w:szCs w:val="18"/>
    </w:rPr>
  </w:style>
  <w:style w:type="character" w:customStyle="1" w:styleId="8">
    <w:name w:val="页眉 Char"/>
    <w:link w:val="3"/>
    <w:qFormat/>
    <w:uiPriority w:val="0"/>
    <w:rPr>
      <w:kern w:val="2"/>
      <w:sz w:val="18"/>
      <w:szCs w:val="18"/>
    </w:rPr>
  </w:style>
  <w:style w:type="paragraph" w:customStyle="1"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362</Words>
  <Characters>2068</Characters>
  <Lines>17</Lines>
  <Paragraphs>4</Paragraphs>
  <TotalTime>0</TotalTime>
  <ScaleCrop>false</ScaleCrop>
  <LinksUpToDate>false</LinksUpToDate>
  <CharactersWithSpaces>2426</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2016-11-04T01:31:00Z</dcterms:created>
  <dc:creator>王缨</dc:creator>
  <cp:lastModifiedBy>WangYing</cp:lastModifiedBy>
  <cp:lastPrinted>2012-09-13T01:44:00Z</cp:lastPrinted>
  <dcterms:modified xsi:type="dcterms:W3CDTF">2016-11-04T01:56:06Z</dcterms:modified>
  <dc:title>人文学院研究生答辩须知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