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文科试验班评奖评优工作细则</w:t>
      </w:r>
    </w:p>
    <w:p>
      <w:pPr>
        <w:adjustRightInd w:val="0"/>
        <w:snapToGrid w:val="0"/>
        <w:spacing w:line="560" w:lineRule="exact"/>
        <w:ind w:firstLine="640" w:firstLineChars="200"/>
        <w:rPr>
          <w:rFonts w:ascii="仿宋_GB2312" w:hAnsi="仿宋" w:eastAsia="仿宋_GB2312"/>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了全面贯彻党的教育方针，建设优良校风学风，树立先进典型，鼓励本科生刻苦学习、奋发向上，成为德智体美全面发展的社会主义合格建设者和接班人，根据教育部《普通高等学校学生管理规定》和《东南大学学生奖励条例》，结合文科试验班的实际情况，制定本条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本条例适用于东南大学文科试验班在籍的全日制大类本科生第二学年</w:t>
      </w:r>
      <w:r>
        <w:rPr>
          <w:rFonts w:ascii="仿宋_GB2312" w:hAnsi="仿宋" w:eastAsia="仿宋_GB2312"/>
          <w:sz w:val="32"/>
          <w:szCs w:val="32"/>
        </w:rPr>
        <w:t>秋季评奖评优工作</w:t>
      </w:r>
      <w:r>
        <w:rPr>
          <w:rFonts w:hint="eastAsia" w:ascii="仿宋_GB2312" w:hAnsi="仿宋" w:eastAsia="仿宋_GB2312"/>
          <w:sz w:val="32"/>
          <w:szCs w:val="32"/>
        </w:rPr>
        <w:t>。从第二学年春季</w:t>
      </w:r>
      <w:r>
        <w:rPr>
          <w:rFonts w:ascii="仿宋_GB2312" w:hAnsi="仿宋" w:eastAsia="仿宋_GB2312"/>
          <w:sz w:val="32"/>
          <w:szCs w:val="32"/>
        </w:rPr>
        <w:t>学期开始，评奖评优工作按照学生分流后所在学院相关工作细则实施。</w:t>
      </w:r>
    </w:p>
    <w:p>
      <w:pPr>
        <w:tabs>
          <w:tab w:val="left" w:pos="993"/>
        </w:tabs>
        <w:adjustRightInd w:val="0"/>
        <w:snapToGrid w:val="0"/>
        <w:spacing w:line="560" w:lineRule="exact"/>
        <w:ind w:left="643"/>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、评选</w:t>
      </w:r>
      <w:r>
        <w:rPr>
          <w:rFonts w:hint="eastAsia" w:ascii="黑体" w:hAnsi="黑体" w:eastAsia="黑体" w:cs="Times New Roman"/>
          <w:sz w:val="32"/>
          <w:szCs w:val="32"/>
        </w:rPr>
        <w:t>机构</w:t>
      </w:r>
    </w:p>
    <w:p>
      <w:pPr>
        <w:adjustRightInd w:val="0"/>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荣誉称号、</w:t>
      </w:r>
      <w:r>
        <w:rPr>
          <w:rFonts w:hint="eastAsia" w:ascii="仿宋_GB2312" w:hAnsi="仿宋" w:eastAsia="仿宋_GB2312"/>
          <w:sz w:val="32"/>
          <w:szCs w:val="32"/>
        </w:rPr>
        <w:t>奖助学金</w:t>
      </w:r>
      <w:r>
        <w:rPr>
          <w:rFonts w:ascii="仿宋_GB2312" w:hAnsi="仿宋" w:eastAsia="仿宋_GB2312"/>
          <w:sz w:val="32"/>
          <w:szCs w:val="32"/>
        </w:rPr>
        <w:t>的评选</w:t>
      </w:r>
      <w:r>
        <w:rPr>
          <w:rFonts w:hint="eastAsia" w:ascii="仿宋_GB2312" w:hAnsi="仿宋" w:eastAsia="仿宋_GB2312"/>
          <w:sz w:val="32"/>
          <w:szCs w:val="32"/>
        </w:rPr>
        <w:t>须遵循公平、公正、公开的原则，每学年成立文科试验班评奖评优工作组（以下</w:t>
      </w:r>
      <w:r>
        <w:rPr>
          <w:rFonts w:ascii="仿宋_GB2312" w:hAnsi="仿宋" w:eastAsia="仿宋_GB2312"/>
          <w:sz w:val="32"/>
          <w:szCs w:val="32"/>
        </w:rPr>
        <w:t>简称工作组）</w:t>
      </w:r>
      <w:r>
        <w:rPr>
          <w:rFonts w:hint="eastAsia" w:ascii="仿宋_GB2312" w:hAnsi="仿宋" w:eastAsia="仿宋_GB2312"/>
          <w:sz w:val="32"/>
          <w:szCs w:val="32"/>
        </w:rPr>
        <w:t>，由</w:t>
      </w:r>
      <w:r>
        <w:rPr>
          <w:rFonts w:ascii="仿宋_GB2312" w:hAnsi="仿宋" w:eastAsia="仿宋_GB2312"/>
          <w:sz w:val="32"/>
          <w:szCs w:val="32"/>
        </w:rPr>
        <w:t>文科试验班</w:t>
      </w:r>
      <w:r>
        <w:rPr>
          <w:rFonts w:hint="eastAsia" w:ascii="仿宋_GB2312" w:hAnsi="仿宋" w:eastAsia="仿宋_GB2312"/>
          <w:sz w:val="32"/>
          <w:szCs w:val="32"/>
        </w:rPr>
        <w:t>托管学院分管学生工作的党委副书记担任工作组组长，其他</w:t>
      </w:r>
      <w:r>
        <w:rPr>
          <w:rFonts w:ascii="仿宋_GB2312" w:hAnsi="仿宋" w:eastAsia="仿宋_GB2312"/>
          <w:sz w:val="32"/>
          <w:szCs w:val="32"/>
        </w:rPr>
        <w:t>涉及学院分管学生工作的党委副书记担任副组长</w:t>
      </w:r>
      <w:r>
        <w:rPr>
          <w:rFonts w:hint="eastAsia" w:ascii="仿宋_GB2312" w:hAnsi="仿宋" w:eastAsia="仿宋_GB2312"/>
          <w:sz w:val="32"/>
          <w:szCs w:val="32"/>
        </w:rPr>
        <w:t>，各相关学院辅导员担任成员</w:t>
      </w:r>
      <w:r>
        <w:rPr>
          <w:rFonts w:ascii="仿宋_GB2312" w:hAnsi="仿宋" w:eastAsia="仿宋_GB2312"/>
          <w:sz w:val="32"/>
          <w:szCs w:val="32"/>
        </w:rPr>
        <w:t>。</w:t>
      </w:r>
    </w:p>
    <w:p>
      <w:pPr>
        <w:tabs>
          <w:tab w:val="left" w:pos="993"/>
        </w:tabs>
        <w:adjustRightInd w:val="0"/>
        <w:snapToGrid w:val="0"/>
        <w:spacing w:line="560" w:lineRule="exact"/>
        <w:ind w:left="643"/>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rPr>
        <w:t>评选条件</w:t>
      </w:r>
    </w:p>
    <w:p>
      <w:pPr>
        <w:pStyle w:val="16"/>
        <w:adjustRightInd w:val="0"/>
        <w:snapToGrid w:val="0"/>
        <w:spacing w:line="560" w:lineRule="exact"/>
        <w:ind w:firstLine="640"/>
        <w:rPr>
          <w:rFonts w:ascii="楷体_GB2312" w:hAnsi="仿宋" w:eastAsia="楷体_GB2312"/>
          <w:sz w:val="32"/>
          <w:szCs w:val="32"/>
        </w:rPr>
      </w:pPr>
      <w:r>
        <w:rPr>
          <w:rFonts w:hint="eastAsia" w:ascii="楷体_GB2312" w:hAnsi="仿宋" w:eastAsia="楷体_GB2312"/>
          <w:sz w:val="32"/>
          <w:szCs w:val="32"/>
        </w:rPr>
        <w:t>（一）奖励对象</w:t>
      </w:r>
    </w:p>
    <w:p>
      <w:pPr>
        <w:pStyle w:val="16"/>
        <w:adjustRightInd w:val="0"/>
        <w:snapToGrid w:val="0"/>
        <w:spacing w:line="560" w:lineRule="exact"/>
        <w:ind w:firstLine="640"/>
        <w:rPr>
          <w:rFonts w:ascii="仿宋_GB2312" w:hAnsi="仿宋" w:eastAsia="仿宋_GB2312"/>
          <w:sz w:val="32"/>
          <w:szCs w:val="32"/>
        </w:rPr>
      </w:pPr>
      <w:r>
        <w:rPr>
          <w:rFonts w:hint="eastAsia" w:ascii="仿宋_GB2312" w:hAnsi="仿宋" w:eastAsia="仿宋_GB2312"/>
          <w:sz w:val="32"/>
          <w:szCs w:val="32"/>
        </w:rPr>
        <w:t>文科</w:t>
      </w:r>
      <w:r>
        <w:rPr>
          <w:rFonts w:ascii="仿宋_GB2312" w:hAnsi="仿宋" w:eastAsia="仿宋_GB2312"/>
          <w:sz w:val="32"/>
          <w:szCs w:val="32"/>
        </w:rPr>
        <w:t>试验班</w:t>
      </w:r>
      <w:r>
        <w:rPr>
          <w:rFonts w:hint="eastAsia" w:ascii="仿宋_GB2312" w:hAnsi="仿宋" w:eastAsia="仿宋_GB2312"/>
          <w:sz w:val="32"/>
          <w:szCs w:val="32"/>
        </w:rPr>
        <w:t>品学兼优</w:t>
      </w:r>
      <w:r>
        <w:rPr>
          <w:rFonts w:ascii="仿宋_GB2312" w:hAnsi="仿宋" w:eastAsia="仿宋_GB2312"/>
          <w:sz w:val="32"/>
          <w:szCs w:val="32"/>
        </w:rPr>
        <w:t>的大二</w:t>
      </w:r>
      <w:r>
        <w:rPr>
          <w:rFonts w:hint="eastAsia" w:ascii="仿宋_GB2312" w:hAnsi="仿宋" w:eastAsia="仿宋_GB2312"/>
          <w:sz w:val="32"/>
          <w:szCs w:val="32"/>
        </w:rPr>
        <w:t>本科生，获奖者由学校或设奖单位颁发奖金和证书。</w:t>
      </w:r>
    </w:p>
    <w:p>
      <w:pPr>
        <w:pStyle w:val="16"/>
        <w:adjustRightInd w:val="0"/>
        <w:snapToGrid w:val="0"/>
        <w:spacing w:line="560" w:lineRule="exact"/>
        <w:ind w:firstLine="640"/>
        <w:rPr>
          <w:rFonts w:ascii="楷体_GB2312" w:hAnsi="仿宋" w:eastAsia="楷体_GB2312"/>
          <w:sz w:val="32"/>
          <w:szCs w:val="32"/>
        </w:rPr>
      </w:pPr>
      <w:r>
        <w:rPr>
          <w:rFonts w:hint="eastAsia" w:ascii="楷体_GB2312" w:hAnsi="仿宋" w:eastAsia="楷体_GB2312"/>
          <w:sz w:val="32"/>
          <w:szCs w:val="32"/>
        </w:rPr>
        <w:t>（二）申请条件</w:t>
      </w:r>
    </w:p>
    <w:p>
      <w:pPr>
        <w:autoSpaceDE w:val="0"/>
        <w:adjustRightInd w:val="0"/>
        <w:snapToGrid w:val="0"/>
        <w:spacing w:line="560" w:lineRule="exact"/>
        <w:ind w:firstLine="640" w:firstLineChars="200"/>
        <w:textAlignment w:val="baseline"/>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符合东南大学各类荣誉称号、奖助学金申请条件和要求者，且满足以下条件：</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（1）拥护中国共产党的领导，坚定“四个自信”、树立正确的三观；坚定理想信念，树立爱国主义思想；</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 xml:space="preserve">（2）遵纪守法，严格遵守《高等学校学生行为准则》和学校的各项规章制度； </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 xml:space="preserve">（3）热爱所学专业，学习刻苦，奋发向上，严谨踏实，勇于创新； </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 xml:space="preserve">（4）尊敬师长，团结同学，关心集体，自觉维护集体利益，积极参加集体活动和公益活动； </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 xml:space="preserve">（5）热爱劳动，勤俭节约，诚实守信，道德品质优良，以身作则，在集体中起良好的模范带头作用； </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（6）积极参加体育锻炼，身心健康。</w:t>
      </w:r>
    </w:p>
    <w:p>
      <w:pPr>
        <w:autoSpaceDE w:val="0"/>
        <w:adjustRightInd w:val="0"/>
        <w:snapToGrid w:val="0"/>
        <w:spacing w:line="560" w:lineRule="exact"/>
        <w:ind w:firstLine="632" w:firstLineChars="200"/>
        <w:textAlignment w:val="baseline"/>
        <w:rPr>
          <w:rFonts w:ascii="仿宋_GB2312" w:hAnsi="仿宋" w:eastAsia="仿宋_GB2312" w:cs="仿宋"/>
          <w:spacing w:val="-2"/>
          <w:sz w:val="32"/>
          <w:szCs w:val="32"/>
        </w:rPr>
      </w:pPr>
      <w:r>
        <w:rPr>
          <w:rFonts w:hint="eastAsia" w:ascii="仿宋_GB2312" w:hAnsi="仿宋" w:eastAsia="仿宋_GB2312" w:cs="仿宋"/>
          <w:spacing w:val="-2"/>
          <w:sz w:val="32"/>
          <w:szCs w:val="32"/>
        </w:rPr>
        <w:t>2</w:t>
      </w:r>
      <w:r>
        <w:rPr>
          <w:rFonts w:ascii="仿宋_GB2312" w:hAnsi="仿宋" w:eastAsia="仿宋_GB2312" w:cs="仿宋"/>
          <w:spacing w:val="-2"/>
          <w:sz w:val="32"/>
          <w:szCs w:val="32"/>
        </w:rPr>
        <w:t>.</w:t>
      </w:r>
      <w:r>
        <w:rPr>
          <w:rFonts w:hint="eastAsia" w:ascii="仿宋_GB2312" w:hAnsi="仿宋" w:eastAsia="仿宋_GB2312" w:cs="仿宋"/>
          <w:spacing w:val="-2"/>
          <w:sz w:val="32"/>
          <w:szCs w:val="32"/>
        </w:rPr>
        <w:t>有下列情况之一者，不得参加评审：</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（1）在校期间受到警告以上纪律处分；</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（2）</w:t>
      </w:r>
      <w:r>
        <w:rPr>
          <w:rFonts w:hint="eastAsia" w:ascii="仿宋_GB2312" w:hAnsi="仿宋" w:eastAsia="仿宋_GB2312" w:cs="仿宋"/>
          <w:spacing w:val="-1"/>
          <w:sz w:val="32"/>
          <w:szCs w:val="32"/>
        </w:rPr>
        <w:t>评定学年度</w:t>
      </w:r>
      <w:r>
        <w:rPr>
          <w:rFonts w:hint="eastAsia" w:ascii="仿宋_GB2312" w:hAnsi="仿宋" w:eastAsia="仿宋_GB2312" w:cs="仿宋"/>
          <w:sz w:val="32"/>
          <w:szCs w:val="32"/>
        </w:rPr>
        <w:t>受到学院通报批评；</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（3）学术行为不端；</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（4）评定学年度本科生综合素质测评未达到优或良；</w:t>
      </w:r>
    </w:p>
    <w:p>
      <w:pPr>
        <w:autoSpaceDE w:val="0"/>
        <w:adjustRightInd w:val="0"/>
        <w:snapToGrid w:val="0"/>
        <w:spacing w:line="560" w:lineRule="exact"/>
        <w:ind w:firstLine="640" w:firstLineChars="200"/>
        <w:textAlignment w:val="baseline"/>
        <w:rPr>
          <w:rFonts w:ascii="仿宋_GB2312" w:hAnsi="仿宋" w:eastAsia="仿宋_GB2312" w:cs="仿宋"/>
          <w:spacing w:val="39"/>
          <w:sz w:val="32"/>
          <w:szCs w:val="32"/>
        </w:rPr>
      </w:pPr>
      <w:r>
        <w:rPr>
          <w:rFonts w:hint="eastAsia" w:ascii="仿宋_GB2312" w:hAnsi="仿宋" w:eastAsia="仿宋_GB2312" w:cs="仿宋"/>
          <w:sz w:val="32"/>
          <w:szCs w:val="32"/>
          <w:lang w:bidi="ar"/>
        </w:rPr>
        <w:t>（5）评</w:t>
      </w:r>
      <w:r>
        <w:rPr>
          <w:rFonts w:hint="eastAsia" w:ascii="仿宋_GB2312" w:hAnsi="仿宋" w:eastAsia="仿宋_GB2312" w:cs="仿宋"/>
          <w:spacing w:val="6"/>
          <w:sz w:val="32"/>
          <w:szCs w:val="32"/>
        </w:rPr>
        <w:t>定学年度有不及格课程(包括所有公选人文类等选修课程</w:t>
      </w:r>
      <w:r>
        <w:rPr>
          <w:rFonts w:hint="eastAsia" w:ascii="仿宋_GB2312" w:hAnsi="仿宋" w:eastAsia="仿宋_GB2312" w:cs="仿宋"/>
          <w:spacing w:val="39"/>
          <w:sz w:val="32"/>
          <w:szCs w:val="32"/>
        </w:rPr>
        <w:t>)；</w:t>
      </w:r>
    </w:p>
    <w:p>
      <w:pPr>
        <w:autoSpaceDE w:val="0"/>
        <w:adjustRightInd w:val="0"/>
        <w:snapToGrid w:val="0"/>
        <w:spacing w:line="560" w:lineRule="exact"/>
        <w:ind w:firstLine="640" w:firstLineChars="200"/>
        <w:textAlignment w:val="baseline"/>
        <w:rPr>
          <w:rFonts w:ascii="仿宋_GB2312" w:hAnsi="仿宋" w:eastAsia="仿宋_GB2312" w:cs="仿宋"/>
          <w:sz w:val="32"/>
          <w:szCs w:val="32"/>
          <w:lang w:bidi="ar"/>
        </w:rPr>
      </w:pPr>
      <w:r>
        <w:rPr>
          <w:rFonts w:hint="eastAsia" w:ascii="仿宋_GB2312" w:hAnsi="仿宋" w:eastAsia="仿宋_GB2312" w:cs="仿宋"/>
          <w:sz w:val="32"/>
          <w:szCs w:val="32"/>
          <w:lang w:bidi="ar"/>
        </w:rPr>
        <w:t>（</w:t>
      </w:r>
      <w:r>
        <w:rPr>
          <w:rFonts w:ascii="仿宋_GB2312" w:hAnsi="仿宋" w:eastAsia="仿宋_GB2312" w:cs="仿宋"/>
          <w:sz w:val="32"/>
          <w:szCs w:val="32"/>
          <w:lang w:bidi="ar"/>
        </w:rPr>
        <w:t>6</w:t>
      </w:r>
      <w:r>
        <w:rPr>
          <w:rFonts w:hint="eastAsia" w:ascii="仿宋_GB2312" w:hAnsi="仿宋" w:eastAsia="仿宋_GB2312" w:cs="仿宋"/>
          <w:sz w:val="32"/>
          <w:szCs w:val="32"/>
          <w:lang w:bidi="ar"/>
        </w:rPr>
        <w:t>）其他不适宜申报荣誉称号的行为或情况。</w:t>
      </w:r>
    </w:p>
    <w:p>
      <w:pPr>
        <w:autoSpaceDE w:val="0"/>
        <w:adjustRightInd w:val="0"/>
        <w:snapToGrid w:val="0"/>
        <w:spacing w:line="560" w:lineRule="exact"/>
        <w:ind w:firstLine="640" w:firstLineChars="200"/>
        <w:textAlignment w:val="baseline"/>
        <w:rPr>
          <w:rFonts w:ascii="仿宋_GB2312" w:hAnsi="仿宋" w:eastAsia="仿宋_GB2312" w:cs="仿宋"/>
          <w:spacing w:val="39"/>
          <w:sz w:val="32"/>
          <w:szCs w:val="32"/>
        </w:rPr>
      </w:pPr>
      <w:r>
        <w:rPr>
          <w:rFonts w:hint="eastAsia" w:ascii="仿宋_GB2312" w:hAnsi="仿宋" w:eastAsia="仿宋_GB2312" w:cs="仿宋"/>
          <w:sz w:val="32"/>
          <w:szCs w:val="32"/>
          <w:lang w:bidi="ar"/>
        </w:rPr>
        <w:t>3</w:t>
      </w:r>
      <w:r>
        <w:rPr>
          <w:rFonts w:ascii="仿宋_GB2312" w:hAnsi="仿宋" w:eastAsia="仿宋_GB2312" w:cs="仿宋"/>
          <w:sz w:val="32"/>
          <w:szCs w:val="32"/>
          <w:lang w:bidi="ar"/>
        </w:rPr>
        <w:t>.</w:t>
      </w:r>
      <w:r>
        <w:rPr>
          <w:rFonts w:hint="eastAsia" w:ascii="仿宋_GB2312" w:hAnsi="仿宋" w:eastAsia="仿宋_GB2312" w:cs="仿宋"/>
          <w:spacing w:val="-2"/>
          <w:sz w:val="32"/>
          <w:szCs w:val="32"/>
        </w:rPr>
        <w:t>除以上1、2项条件外，按当年学校各类荣誉称号、奖学金的具体规则和申报条件执行。</w:t>
      </w:r>
    </w:p>
    <w:p>
      <w:pPr>
        <w:pStyle w:val="16"/>
        <w:adjustRightInd w:val="0"/>
        <w:snapToGrid w:val="0"/>
        <w:spacing w:line="560" w:lineRule="exact"/>
        <w:ind w:firstLine="640"/>
        <w:rPr>
          <w:rFonts w:ascii="仿宋_GB2312" w:hAnsi="仿宋" w:eastAsia="仿宋_GB2312"/>
          <w:sz w:val="32"/>
          <w:szCs w:val="32"/>
        </w:rPr>
      </w:pPr>
      <w:r>
        <w:rPr>
          <w:rFonts w:ascii="楷体_GB2312" w:hAnsi="仿宋" w:eastAsia="楷体_GB2312"/>
          <w:sz w:val="32"/>
          <w:szCs w:val="32"/>
        </w:rPr>
        <w:t>4</w:t>
      </w:r>
      <w:r>
        <w:rPr>
          <w:rFonts w:hint="eastAsia" w:ascii="楷体_GB2312" w:hAnsi="仿宋" w:eastAsia="楷体_GB2312"/>
          <w:sz w:val="32"/>
          <w:szCs w:val="32"/>
        </w:rPr>
        <w:t>.</w:t>
      </w:r>
      <w:r>
        <w:rPr>
          <w:rFonts w:hint="eastAsia" w:ascii="仿宋_GB2312" w:hAnsi="仿宋" w:eastAsia="仿宋_GB2312"/>
          <w:sz w:val="32"/>
          <w:szCs w:val="32"/>
        </w:rPr>
        <w:t>国家奖学金、校长奖学金、国家励志奖学金不可兼得。</w:t>
      </w:r>
    </w:p>
    <w:p>
      <w:pPr>
        <w:tabs>
          <w:tab w:val="left" w:pos="993"/>
        </w:tabs>
        <w:adjustRightInd w:val="0"/>
        <w:snapToGrid w:val="0"/>
        <w:spacing w:line="560" w:lineRule="exact"/>
        <w:ind w:left="643"/>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w:t>
      </w:r>
      <w:r>
        <w:rPr>
          <w:rFonts w:hint="eastAsia" w:ascii="黑体" w:hAnsi="黑体" w:eastAsia="黑体" w:cs="Times New Roman"/>
          <w:sz w:val="32"/>
          <w:szCs w:val="32"/>
        </w:rPr>
        <w:t>评选程序及办法</w:t>
      </w:r>
    </w:p>
    <w:p>
      <w:pPr>
        <w:pStyle w:val="16"/>
        <w:adjustRightInd w:val="0"/>
        <w:snapToGrid w:val="0"/>
        <w:spacing w:line="560" w:lineRule="exact"/>
        <w:ind w:firstLine="640"/>
        <w:rPr>
          <w:rFonts w:ascii="仿宋_GB2312" w:hAnsi="仿宋" w:eastAsia="仿宋_GB2312"/>
          <w:sz w:val="32"/>
          <w:szCs w:val="32"/>
        </w:rPr>
      </w:pPr>
      <w:r>
        <w:rPr>
          <w:rFonts w:hint="eastAsia" w:ascii="仿宋_GB2312" w:hAnsi="仿宋" w:eastAsia="仿宋_GB2312"/>
          <w:sz w:val="32"/>
          <w:szCs w:val="32"/>
        </w:rPr>
        <w:t>荣誉</w:t>
      </w:r>
      <w:r>
        <w:rPr>
          <w:rFonts w:ascii="仿宋_GB2312" w:hAnsi="仿宋" w:eastAsia="仿宋_GB2312"/>
          <w:sz w:val="32"/>
          <w:szCs w:val="32"/>
        </w:rPr>
        <w:t>称号、奖助学金的申请条件均需符合《大学生手册》的有关规定。</w:t>
      </w:r>
      <w:r>
        <w:rPr>
          <w:rFonts w:hint="eastAsia" w:ascii="仿宋_GB2312" w:hAnsi="仿宋" w:eastAsia="仿宋_GB2312"/>
          <w:sz w:val="32"/>
          <w:szCs w:val="32"/>
        </w:rPr>
        <w:t>评选所用成绩为评定学年的首修平均分。评审结果需在大类</w:t>
      </w:r>
      <w:r>
        <w:rPr>
          <w:rFonts w:ascii="仿宋_GB2312" w:hAnsi="仿宋" w:eastAsia="仿宋_GB2312"/>
          <w:sz w:val="32"/>
          <w:szCs w:val="32"/>
        </w:rPr>
        <w:t>涉及的所有学院进行</w:t>
      </w:r>
      <w:r>
        <w:rPr>
          <w:rFonts w:hint="eastAsia" w:ascii="仿宋_GB2312" w:hAnsi="仿宋" w:eastAsia="仿宋_GB2312"/>
          <w:sz w:val="32"/>
          <w:szCs w:val="32"/>
        </w:rPr>
        <w:t>公示，接受学生监督。</w:t>
      </w:r>
    </w:p>
    <w:p>
      <w:pPr>
        <w:pStyle w:val="16"/>
        <w:adjustRightInd w:val="0"/>
        <w:snapToGrid w:val="0"/>
        <w:spacing w:line="560" w:lineRule="exact"/>
        <w:ind w:firstLine="640"/>
        <w:rPr>
          <w:rFonts w:ascii="楷体_GB2312" w:hAnsi="仿宋" w:eastAsia="楷体_GB2312"/>
          <w:sz w:val="32"/>
          <w:szCs w:val="32"/>
        </w:rPr>
      </w:pPr>
      <w:r>
        <w:rPr>
          <w:rFonts w:hint="eastAsia" w:ascii="楷体_GB2312" w:hAnsi="仿宋" w:eastAsia="楷体_GB2312"/>
          <w:sz w:val="32"/>
          <w:szCs w:val="32"/>
        </w:rPr>
        <w:t>（一）三好学生、优秀学生干部、三好学生标兵</w:t>
      </w:r>
    </w:p>
    <w:p>
      <w:pPr>
        <w:pStyle w:val="16"/>
        <w:adjustRightInd w:val="0"/>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1.三好学生：名额按各相关学院人数比例确定，由</w:t>
      </w:r>
      <w:r>
        <w:rPr>
          <w:rFonts w:ascii="仿宋_GB2312" w:hAnsi="仿宋" w:eastAsia="仿宋_GB2312"/>
          <w:sz w:val="32"/>
          <w:szCs w:val="32"/>
        </w:rPr>
        <w:t>工作组组织评审工作</w:t>
      </w:r>
      <w:r>
        <w:rPr>
          <w:rFonts w:hint="eastAsia" w:ascii="仿宋_GB2312" w:hAnsi="仿宋" w:eastAsia="仿宋_GB2312"/>
          <w:sz w:val="32"/>
          <w:szCs w:val="32"/>
        </w:rPr>
        <w:t>，一般经个人</w:t>
      </w:r>
      <w:r>
        <w:rPr>
          <w:rFonts w:ascii="仿宋_GB2312" w:hAnsi="仿宋" w:eastAsia="仿宋_GB2312"/>
          <w:sz w:val="32"/>
          <w:szCs w:val="32"/>
        </w:rPr>
        <w:t>自荐</w:t>
      </w:r>
      <w:r>
        <w:rPr>
          <w:rFonts w:hint="eastAsia" w:ascii="仿宋_GB2312" w:hAnsi="仿宋" w:eastAsia="仿宋_GB2312"/>
          <w:sz w:val="32"/>
          <w:szCs w:val="32"/>
        </w:rPr>
        <w:t>、</w:t>
      </w:r>
      <w:r>
        <w:rPr>
          <w:rFonts w:ascii="仿宋_GB2312" w:hAnsi="仿宋" w:eastAsia="仿宋_GB2312"/>
          <w:sz w:val="32"/>
          <w:szCs w:val="32"/>
        </w:rPr>
        <w:t>班级推荐</w:t>
      </w:r>
      <w:r>
        <w:rPr>
          <w:rFonts w:hint="eastAsia" w:ascii="仿宋_GB2312" w:hAnsi="仿宋" w:eastAsia="仿宋_GB2312"/>
          <w:sz w:val="32"/>
          <w:szCs w:val="32"/>
        </w:rPr>
        <w:t>后，采取书面评审或</w:t>
      </w:r>
      <w:r>
        <w:rPr>
          <w:rFonts w:ascii="仿宋_GB2312" w:hAnsi="仿宋" w:eastAsia="仿宋_GB2312"/>
          <w:sz w:val="32"/>
          <w:szCs w:val="32"/>
        </w:rPr>
        <w:t>答辩</w:t>
      </w:r>
      <w:r>
        <w:rPr>
          <w:rFonts w:hint="eastAsia" w:ascii="仿宋_GB2312" w:hAnsi="仿宋" w:eastAsia="仿宋_GB2312"/>
          <w:sz w:val="32"/>
          <w:szCs w:val="32"/>
        </w:rPr>
        <w:t>评分</w:t>
      </w:r>
      <w:r>
        <w:rPr>
          <w:rFonts w:ascii="仿宋_GB2312" w:hAnsi="仿宋" w:eastAsia="仿宋_GB2312"/>
          <w:sz w:val="32"/>
          <w:szCs w:val="32"/>
        </w:rPr>
        <w:t>的形式进行。</w:t>
      </w:r>
      <w:r>
        <w:rPr>
          <w:rFonts w:hint="eastAsia" w:ascii="仿宋_GB2312" w:hAnsi="仿宋" w:eastAsia="仿宋_GB2312"/>
          <w:sz w:val="32"/>
          <w:szCs w:val="32"/>
        </w:rPr>
        <w:t>其中班级推荐环节，班级投票需超过班级总人数的5</w:t>
      </w:r>
      <w:r>
        <w:rPr>
          <w:rFonts w:ascii="仿宋_GB2312" w:hAnsi="仿宋" w:eastAsia="仿宋_GB2312"/>
          <w:sz w:val="32"/>
          <w:szCs w:val="32"/>
        </w:rPr>
        <w:t>0</w:t>
      </w:r>
      <w:r>
        <w:rPr>
          <w:rFonts w:hint="eastAsia" w:ascii="仿宋_GB2312" w:hAnsi="仿宋" w:eastAsia="仿宋_GB2312"/>
          <w:sz w:val="32"/>
          <w:szCs w:val="32"/>
        </w:rPr>
        <w:t>%，班级按票数进行排序，上报推荐结果。</w:t>
      </w:r>
    </w:p>
    <w:p>
      <w:pPr>
        <w:pStyle w:val="16"/>
        <w:adjustRightInd w:val="0"/>
        <w:snapToGrid w:val="0"/>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优秀学生干部</w:t>
      </w:r>
      <w:r>
        <w:rPr>
          <w:rFonts w:hint="eastAsia" w:ascii="仿宋_GB2312" w:hAnsi="仿宋" w:eastAsia="仿宋_GB2312"/>
          <w:sz w:val="32"/>
          <w:szCs w:val="32"/>
        </w:rPr>
        <w:t>、三好学生标兵在</w:t>
      </w:r>
      <w:r>
        <w:rPr>
          <w:rFonts w:ascii="仿宋_GB2312" w:hAnsi="仿宋" w:eastAsia="仿宋_GB2312"/>
          <w:sz w:val="32"/>
          <w:szCs w:val="32"/>
        </w:rPr>
        <w:t>三好学生评选入围者中产生，</w:t>
      </w:r>
      <w:r>
        <w:rPr>
          <w:rFonts w:hint="eastAsia" w:ascii="仿宋_GB2312" w:hAnsi="仿宋" w:eastAsia="仿宋_GB2312"/>
          <w:sz w:val="32"/>
          <w:szCs w:val="32"/>
        </w:rPr>
        <w:t>由</w:t>
      </w:r>
      <w:r>
        <w:rPr>
          <w:rFonts w:ascii="仿宋_GB2312" w:hAnsi="仿宋" w:eastAsia="仿宋_GB2312"/>
          <w:sz w:val="32"/>
          <w:szCs w:val="32"/>
        </w:rPr>
        <w:t>工</w:t>
      </w:r>
      <w:r>
        <w:rPr>
          <w:rFonts w:hint="eastAsia" w:ascii="仿宋_GB2312" w:hAnsi="仿宋" w:eastAsia="仿宋_GB2312"/>
          <w:sz w:val="32"/>
          <w:szCs w:val="32"/>
        </w:rPr>
        <w:t>作组</w:t>
      </w:r>
      <w:r>
        <w:rPr>
          <w:rFonts w:ascii="仿宋_GB2312" w:hAnsi="仿宋" w:eastAsia="仿宋_GB2312"/>
          <w:sz w:val="32"/>
          <w:szCs w:val="32"/>
        </w:rPr>
        <w:t>进行合议评审</w:t>
      </w:r>
      <w:r>
        <w:rPr>
          <w:rFonts w:hint="eastAsia" w:ascii="仿宋_GB2312" w:hAnsi="仿宋" w:eastAsia="仿宋_GB2312"/>
          <w:sz w:val="32"/>
          <w:szCs w:val="32"/>
        </w:rPr>
        <w:t>。</w:t>
      </w:r>
    </w:p>
    <w:p>
      <w:pPr>
        <w:pStyle w:val="16"/>
        <w:adjustRightInd w:val="0"/>
        <w:snapToGrid w:val="0"/>
        <w:spacing w:line="560" w:lineRule="exact"/>
        <w:ind w:firstLine="640"/>
        <w:rPr>
          <w:rFonts w:ascii="楷体_GB2312" w:hAnsi="仿宋" w:eastAsia="楷体_GB2312"/>
          <w:sz w:val="32"/>
          <w:szCs w:val="32"/>
        </w:rPr>
      </w:pPr>
      <w:r>
        <w:rPr>
          <w:rFonts w:hint="eastAsia" w:ascii="楷体_GB2312" w:hAnsi="仿宋" w:eastAsia="楷体_GB2312"/>
          <w:sz w:val="32"/>
          <w:szCs w:val="32"/>
        </w:rPr>
        <w:t>（二）校长奖学金、国家奖学金</w:t>
      </w:r>
    </w:p>
    <w:p>
      <w:pPr>
        <w:pStyle w:val="16"/>
        <w:adjustRightInd w:val="0"/>
        <w:snapToGrid w:val="0"/>
        <w:spacing w:line="560" w:lineRule="exact"/>
        <w:ind w:firstLine="640"/>
        <w:rPr>
          <w:rFonts w:ascii="仿宋_GB2312" w:hAnsi="仿宋" w:eastAsia="仿宋_GB2312"/>
          <w:sz w:val="32"/>
          <w:szCs w:val="32"/>
        </w:rPr>
      </w:pPr>
      <w:r>
        <w:rPr>
          <w:rFonts w:hint="eastAsia" w:ascii="仿宋_GB2312" w:hAnsi="仿宋" w:eastAsia="仿宋_GB2312"/>
          <w:sz w:val="32"/>
          <w:szCs w:val="32"/>
        </w:rPr>
        <w:t>校长</w:t>
      </w:r>
      <w:r>
        <w:rPr>
          <w:rFonts w:ascii="仿宋_GB2312" w:hAnsi="仿宋" w:eastAsia="仿宋_GB2312"/>
          <w:sz w:val="32"/>
          <w:szCs w:val="32"/>
        </w:rPr>
        <w:t>奖学金的评选</w:t>
      </w:r>
      <w:r>
        <w:rPr>
          <w:rFonts w:hint="eastAsia" w:ascii="仿宋_GB2312" w:hAnsi="仿宋" w:eastAsia="仿宋_GB2312"/>
          <w:sz w:val="32"/>
          <w:szCs w:val="32"/>
        </w:rPr>
        <w:t>由符合</w:t>
      </w:r>
      <w:r>
        <w:rPr>
          <w:rFonts w:ascii="仿宋_GB2312" w:hAnsi="仿宋" w:eastAsia="仿宋_GB2312"/>
          <w:sz w:val="32"/>
          <w:szCs w:val="32"/>
        </w:rPr>
        <w:t>条件的学生提出申请</w:t>
      </w:r>
      <w:r>
        <w:rPr>
          <w:rFonts w:hint="eastAsia" w:ascii="仿宋_GB2312" w:hAnsi="仿宋" w:eastAsia="仿宋_GB2312"/>
          <w:sz w:val="32"/>
          <w:szCs w:val="32"/>
        </w:rPr>
        <w:t>，</w:t>
      </w:r>
      <w:r>
        <w:rPr>
          <w:rFonts w:ascii="仿宋_GB2312" w:hAnsi="仿宋" w:eastAsia="仿宋_GB2312"/>
          <w:sz w:val="32"/>
          <w:szCs w:val="32"/>
        </w:rPr>
        <w:t>由工作组</w:t>
      </w:r>
      <w:r>
        <w:rPr>
          <w:rFonts w:hint="eastAsia" w:ascii="仿宋_GB2312" w:hAnsi="仿宋" w:eastAsia="仿宋_GB2312"/>
          <w:sz w:val="32"/>
          <w:szCs w:val="32"/>
        </w:rPr>
        <w:t>组织</w:t>
      </w:r>
      <w:r>
        <w:rPr>
          <w:rFonts w:ascii="仿宋_GB2312" w:hAnsi="仿宋" w:eastAsia="仿宋_GB2312"/>
          <w:sz w:val="32"/>
          <w:szCs w:val="32"/>
        </w:rPr>
        <w:t>评审。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符合条件的学生向文科试验班</w:t>
      </w:r>
      <w:r>
        <w:rPr>
          <w:rFonts w:ascii="仿宋_GB2312" w:hAnsi="仿宋" w:eastAsia="仿宋_GB2312"/>
          <w:sz w:val="32"/>
          <w:szCs w:val="32"/>
        </w:rPr>
        <w:t>托管学院</w:t>
      </w:r>
      <w:r>
        <w:rPr>
          <w:rFonts w:hint="eastAsia" w:ascii="仿宋_GB2312" w:hAnsi="仿宋" w:eastAsia="仿宋_GB2312"/>
          <w:sz w:val="32"/>
          <w:szCs w:val="32"/>
        </w:rPr>
        <w:t>提出书面申请，填写《东南大学校长奖学金申请表》或《国家奖学金申请审批表》交至托管学院学办，申请破格的同学需提交申请和相关证明。</w:t>
      </w:r>
    </w:p>
    <w:p>
      <w:pPr>
        <w:adjustRightInd w:val="0"/>
        <w:snapToGrid w:val="0"/>
        <w:spacing w:line="560" w:lineRule="exact"/>
        <w:ind w:firstLine="640" w:firstLineChars="200"/>
        <w:rPr>
          <w:rFonts w:ascii="仿宋_GB2312" w:hAnsi="仿宋" w:eastAsia="仿宋_GB2312" w:cs="仿宋"/>
          <w:spacing w:val="-1"/>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申请学生在规定时间内，</w:t>
      </w:r>
      <w:r>
        <w:rPr>
          <w:rFonts w:hint="eastAsia" w:ascii="仿宋_GB2312" w:hAnsi="仿宋" w:eastAsia="仿宋_GB2312" w:cs="仿宋"/>
          <w:spacing w:val="-1"/>
          <w:sz w:val="32"/>
          <w:szCs w:val="32"/>
        </w:rPr>
        <w:t>填写《文科试验班奖学金申请表》（附件</w:t>
      </w:r>
      <w:r>
        <w:rPr>
          <w:rFonts w:ascii="仿宋_GB2312" w:hAnsi="仿宋" w:eastAsia="仿宋_GB2312" w:cs="仿宋"/>
          <w:spacing w:val="-1"/>
          <w:sz w:val="32"/>
          <w:szCs w:val="32"/>
        </w:rPr>
        <w:t>2</w:t>
      </w:r>
      <w:r>
        <w:rPr>
          <w:rFonts w:hint="eastAsia" w:ascii="仿宋_GB2312" w:hAnsi="仿宋" w:eastAsia="仿宋_GB2312" w:cs="仿宋"/>
          <w:spacing w:val="-1"/>
          <w:sz w:val="32"/>
          <w:szCs w:val="32"/>
        </w:rPr>
        <w:t>），并提交相关证明材料，逾期视作自动放弃。</w:t>
      </w:r>
    </w:p>
    <w:p>
      <w:pPr>
        <w:tabs>
          <w:tab w:val="left" w:pos="1260"/>
        </w:tabs>
        <w:spacing w:line="560" w:lineRule="exact"/>
        <w:ind w:firstLine="640" w:firstLineChars="200"/>
        <w:rPr>
          <w:rFonts w:hint="eastAsia" w:ascii="仿宋_GB2312" w:hAnsi="仿宋" w:eastAsia="仿宋_GB2312" w:cs="仿宋"/>
          <w:spacing w:val="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托管学院学办依据各类奖学金评定规则及本细则，按照《文科试验班学生奖学金评审计分标准》（附件</w:t>
      </w:r>
      <w:r>
        <w:rPr>
          <w:rFonts w:ascii="仿宋_GB2312" w:hAnsi="仿宋" w:eastAsia="仿宋_GB2312"/>
          <w:sz w:val="32"/>
          <w:szCs w:val="32"/>
        </w:rPr>
        <w:t>1）</w:t>
      </w:r>
      <w:r>
        <w:rPr>
          <w:rFonts w:hint="eastAsia" w:ascii="仿宋_GB2312" w:hAnsi="仿宋" w:eastAsia="仿宋_GB2312"/>
          <w:sz w:val="32"/>
          <w:szCs w:val="32"/>
        </w:rPr>
        <w:t>，</w:t>
      </w:r>
      <w:r>
        <w:rPr>
          <w:rFonts w:hint="eastAsia" w:ascii="仿宋_GB2312" w:hAnsi="仿宋" w:eastAsia="仿宋_GB2312" w:cs="仿宋"/>
          <w:spacing w:val="2"/>
          <w:sz w:val="32"/>
          <w:szCs w:val="32"/>
        </w:rPr>
        <w:t>加权计算后得出申请材料总分，根据总分的高低排序。具体计算方法为：总分=学习成绩×0.95+</w:t>
      </w:r>
      <w:r>
        <w:rPr>
          <w:rFonts w:hint="eastAsia" w:ascii="仿宋_GB2312" w:hAnsi="仿宋" w:eastAsia="仿宋_GB2312" w:cs="仿宋"/>
          <w:color w:val="auto"/>
          <w:spacing w:val="-4"/>
          <w:sz w:val="32"/>
          <w:szCs w:val="32"/>
        </w:rPr>
        <w:t>社会</w:t>
      </w:r>
      <w:r>
        <w:rPr>
          <w:rFonts w:hint="eastAsia" w:ascii="仿宋_GB2312" w:hAnsi="仿宋" w:eastAsia="仿宋_GB2312" w:cs="仿宋"/>
          <w:color w:val="auto"/>
          <w:spacing w:val="-4"/>
          <w:sz w:val="32"/>
          <w:szCs w:val="32"/>
          <w:lang w:val="en-US" w:eastAsia="zh-CN"/>
        </w:rPr>
        <w:t>活动及</w:t>
      </w:r>
      <w:r>
        <w:rPr>
          <w:rFonts w:hint="eastAsia" w:ascii="仿宋_GB2312" w:hAnsi="仿宋" w:eastAsia="仿宋_GB2312" w:cs="仿宋"/>
          <w:color w:val="auto"/>
          <w:spacing w:val="-4"/>
          <w:sz w:val="32"/>
          <w:szCs w:val="32"/>
        </w:rPr>
        <w:t>学生工作类</w:t>
      </w:r>
      <w:r>
        <w:rPr>
          <w:rFonts w:hint="eastAsia" w:ascii="仿宋_GB2312" w:hAnsi="仿宋" w:eastAsia="仿宋_GB2312" w:cs="仿宋"/>
          <w:spacing w:val="2"/>
          <w:sz w:val="32"/>
          <w:szCs w:val="32"/>
        </w:rPr>
        <w:t>成绩×0.05+学科竞赛及科研活动类成绩，其中学科竞赛及科研活动类成绩由工作组根据材料或答辩情况给与不多于5分的加分。</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根据候选学生的综合成绩确定获奖名单，公示后上报。</w:t>
      </w:r>
    </w:p>
    <w:p>
      <w:pPr>
        <w:pStyle w:val="16"/>
        <w:adjustRightInd w:val="0"/>
        <w:snapToGrid w:val="0"/>
        <w:spacing w:line="560" w:lineRule="exact"/>
        <w:ind w:firstLine="640"/>
        <w:rPr>
          <w:rFonts w:ascii="楷体_GB2312" w:hAnsi="仿宋" w:eastAsia="楷体_GB2312"/>
          <w:sz w:val="32"/>
          <w:szCs w:val="32"/>
        </w:rPr>
      </w:pPr>
      <w:r>
        <w:rPr>
          <w:rFonts w:hint="eastAsia" w:ascii="楷体_GB2312" w:hAnsi="仿宋" w:eastAsia="楷体_GB2312"/>
          <w:sz w:val="32"/>
          <w:szCs w:val="32"/>
        </w:rPr>
        <w:t>（四）国家励志奖学金</w:t>
      </w:r>
    </w:p>
    <w:p>
      <w:pPr>
        <w:adjustRightInd w:val="0"/>
        <w:snapToGrid w:val="0"/>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国家励志奖学金</w:t>
      </w:r>
      <w:r>
        <w:rPr>
          <w:rFonts w:ascii="仿宋_GB2312" w:hAnsi="仿宋" w:eastAsia="仿宋_GB2312"/>
          <w:sz w:val="32"/>
          <w:szCs w:val="32"/>
        </w:rPr>
        <w:t>的评选</w:t>
      </w:r>
      <w:r>
        <w:rPr>
          <w:rFonts w:hint="eastAsia" w:ascii="仿宋_GB2312" w:hAnsi="仿宋" w:eastAsia="仿宋_GB2312"/>
          <w:sz w:val="32"/>
          <w:szCs w:val="32"/>
        </w:rPr>
        <w:t>由符合</w:t>
      </w:r>
      <w:r>
        <w:rPr>
          <w:rFonts w:ascii="仿宋_GB2312" w:hAnsi="仿宋" w:eastAsia="仿宋_GB2312"/>
          <w:sz w:val="32"/>
          <w:szCs w:val="32"/>
        </w:rPr>
        <w:t>条件的学生提出申请</w:t>
      </w:r>
      <w:r>
        <w:rPr>
          <w:rFonts w:hint="eastAsia" w:ascii="仿宋_GB2312" w:hAnsi="仿宋" w:eastAsia="仿宋_GB2312"/>
          <w:sz w:val="32"/>
          <w:szCs w:val="32"/>
        </w:rPr>
        <w:t>，评选工作组按家庭经济</w:t>
      </w:r>
      <w:r>
        <w:rPr>
          <w:rFonts w:ascii="仿宋_GB2312" w:hAnsi="仿宋" w:eastAsia="仿宋_GB2312"/>
          <w:sz w:val="32"/>
          <w:szCs w:val="32"/>
        </w:rPr>
        <w:t>困难</w:t>
      </w:r>
      <w:r>
        <w:rPr>
          <w:rFonts w:hint="eastAsia" w:ascii="仿宋_GB2312" w:hAnsi="仿宋" w:eastAsia="仿宋_GB2312"/>
          <w:sz w:val="32"/>
          <w:szCs w:val="32"/>
        </w:rPr>
        <w:t>学生</w:t>
      </w:r>
      <w:r>
        <w:rPr>
          <w:rFonts w:ascii="仿宋_GB2312" w:hAnsi="仿宋" w:eastAsia="仿宋_GB2312"/>
          <w:sz w:val="32"/>
          <w:szCs w:val="32"/>
        </w:rPr>
        <w:t>人</w:t>
      </w:r>
      <w:r>
        <w:rPr>
          <w:rFonts w:hint="eastAsia" w:ascii="仿宋_GB2312" w:hAnsi="仿宋" w:eastAsia="仿宋_GB2312"/>
          <w:sz w:val="32"/>
          <w:szCs w:val="32"/>
        </w:rPr>
        <w:t>数比例分配文科</w:t>
      </w:r>
      <w:r>
        <w:rPr>
          <w:rFonts w:ascii="仿宋_GB2312" w:hAnsi="仿宋" w:eastAsia="仿宋_GB2312"/>
          <w:sz w:val="32"/>
          <w:szCs w:val="32"/>
        </w:rPr>
        <w:t>试验班涉及</w:t>
      </w:r>
      <w:r>
        <w:rPr>
          <w:rFonts w:hint="eastAsia" w:ascii="仿宋_GB2312" w:hAnsi="仿宋" w:eastAsia="仿宋_GB2312"/>
          <w:sz w:val="32"/>
          <w:szCs w:val="32"/>
        </w:rPr>
        <w:t>各学院的</w:t>
      </w:r>
      <w:r>
        <w:rPr>
          <w:rFonts w:ascii="仿宋_GB2312" w:hAnsi="仿宋" w:eastAsia="仿宋_GB2312"/>
          <w:sz w:val="32"/>
          <w:szCs w:val="32"/>
        </w:rPr>
        <w:t>名额</w:t>
      </w:r>
      <w:r>
        <w:rPr>
          <w:rFonts w:hint="eastAsia" w:ascii="仿宋_GB2312" w:hAnsi="仿宋" w:eastAsia="仿宋_GB2312"/>
          <w:sz w:val="32"/>
          <w:szCs w:val="32"/>
        </w:rPr>
        <w:t>，</w:t>
      </w:r>
      <w:r>
        <w:rPr>
          <w:rFonts w:ascii="仿宋_GB2312" w:hAnsi="仿宋" w:eastAsia="仿宋_GB2312"/>
          <w:sz w:val="32"/>
          <w:szCs w:val="32"/>
        </w:rPr>
        <w:t>由</w:t>
      </w:r>
      <w:r>
        <w:rPr>
          <w:rFonts w:hint="eastAsia" w:ascii="仿宋_GB2312" w:hAnsi="仿宋" w:eastAsia="仿宋_GB2312"/>
          <w:sz w:val="32"/>
          <w:szCs w:val="32"/>
        </w:rPr>
        <w:t>评选</w:t>
      </w:r>
      <w:r>
        <w:rPr>
          <w:rFonts w:ascii="仿宋_GB2312" w:hAnsi="仿宋" w:eastAsia="仿宋_GB2312"/>
          <w:sz w:val="32"/>
          <w:szCs w:val="32"/>
        </w:rPr>
        <w:t>工作组</w:t>
      </w:r>
      <w:r>
        <w:rPr>
          <w:rFonts w:hint="eastAsia" w:ascii="仿宋_GB2312" w:hAnsi="仿宋" w:eastAsia="仿宋_GB2312"/>
          <w:sz w:val="32"/>
          <w:szCs w:val="32"/>
        </w:rPr>
        <w:t>组织评审。</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符合条件的同学提出申请，填写《东南大学国家励志奖学金申请表》交至辅导员处。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.工作</w:t>
      </w:r>
      <w:r>
        <w:rPr>
          <w:rFonts w:hint="eastAsia" w:ascii="仿宋_GB2312" w:hAnsi="仿宋" w:eastAsia="仿宋_GB2312"/>
          <w:sz w:val="32"/>
          <w:szCs w:val="32"/>
        </w:rPr>
        <w:t>组进行资格审查，确定候选人名单。</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工作组组织</w:t>
      </w:r>
      <w:r>
        <w:rPr>
          <w:rFonts w:ascii="仿宋_GB2312" w:hAnsi="仿宋" w:eastAsia="仿宋_GB2312"/>
          <w:sz w:val="32"/>
          <w:szCs w:val="32"/>
        </w:rPr>
        <w:t>开展评审</w:t>
      </w:r>
      <w:r>
        <w:rPr>
          <w:rFonts w:hint="eastAsia" w:ascii="仿宋_GB2312" w:hAnsi="仿宋" w:eastAsia="仿宋_GB2312"/>
          <w:sz w:val="32"/>
          <w:szCs w:val="32"/>
        </w:rPr>
        <w:t>，评审</w:t>
      </w:r>
      <w:r>
        <w:rPr>
          <w:rFonts w:ascii="仿宋_GB2312" w:hAnsi="仿宋" w:eastAsia="仿宋_GB2312"/>
          <w:sz w:val="32"/>
          <w:szCs w:val="32"/>
        </w:rPr>
        <w:t>时</w:t>
      </w:r>
      <w:r>
        <w:rPr>
          <w:rFonts w:hint="eastAsia" w:ascii="仿宋_GB2312" w:hAnsi="仿宋" w:eastAsia="仿宋_GB2312"/>
          <w:sz w:val="32"/>
          <w:szCs w:val="32"/>
        </w:rPr>
        <w:t>须</w:t>
      </w:r>
      <w:r>
        <w:rPr>
          <w:rFonts w:ascii="仿宋_GB2312" w:hAnsi="仿宋" w:eastAsia="仿宋_GB2312"/>
          <w:sz w:val="32"/>
          <w:szCs w:val="32"/>
        </w:rPr>
        <w:t>征求文科试验班大一时</w:t>
      </w:r>
      <w:r>
        <w:rPr>
          <w:rFonts w:hint="eastAsia" w:ascii="仿宋_GB2312" w:hAnsi="仿宋" w:eastAsia="仿宋_GB2312"/>
          <w:sz w:val="32"/>
          <w:szCs w:val="32"/>
        </w:rPr>
        <w:t>年级长、所在班级</w:t>
      </w:r>
      <w:r>
        <w:rPr>
          <w:rFonts w:ascii="仿宋_GB2312" w:hAnsi="仿宋" w:eastAsia="仿宋_GB2312"/>
          <w:sz w:val="32"/>
          <w:szCs w:val="32"/>
        </w:rPr>
        <w:t>班长及生活委员的意见</w:t>
      </w:r>
      <w:r>
        <w:rPr>
          <w:rFonts w:hint="eastAsia" w:ascii="仿宋_GB2312" w:hAnsi="仿宋" w:eastAsia="仿宋_GB2312"/>
          <w:sz w:val="32"/>
          <w:szCs w:val="32"/>
        </w:rPr>
        <w:t>。</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获得唐仲英德育奖学金等大额奖学金的同学，原则上不兼得国家励志奖学金。</w:t>
      </w:r>
    </w:p>
    <w:p>
      <w:pPr>
        <w:pStyle w:val="16"/>
        <w:adjustRightInd w:val="0"/>
        <w:snapToGrid w:val="0"/>
        <w:spacing w:line="560" w:lineRule="exact"/>
        <w:ind w:firstLine="640"/>
        <w:rPr>
          <w:rFonts w:ascii="楷体_GB2312" w:hAnsi="仿宋" w:eastAsia="楷体_GB2312"/>
          <w:sz w:val="32"/>
          <w:szCs w:val="32"/>
        </w:rPr>
      </w:pPr>
      <w:r>
        <w:rPr>
          <w:rFonts w:hint="eastAsia" w:ascii="楷体_GB2312" w:hAnsi="仿宋" w:eastAsia="楷体_GB2312"/>
          <w:sz w:val="32"/>
          <w:szCs w:val="32"/>
        </w:rPr>
        <w:t>（五</w:t>
      </w:r>
      <w:r>
        <w:rPr>
          <w:rFonts w:ascii="楷体_GB2312" w:hAnsi="仿宋" w:eastAsia="楷体_GB2312"/>
          <w:sz w:val="32"/>
          <w:szCs w:val="32"/>
        </w:rPr>
        <w:t>）</w:t>
      </w:r>
      <w:r>
        <w:rPr>
          <w:rFonts w:hint="eastAsia" w:ascii="楷体_GB2312" w:hAnsi="仿宋" w:eastAsia="楷体_GB2312"/>
          <w:sz w:val="32"/>
          <w:szCs w:val="32"/>
        </w:rPr>
        <w:t>其他</w:t>
      </w:r>
      <w:r>
        <w:rPr>
          <w:rFonts w:ascii="楷体_GB2312" w:hAnsi="仿宋" w:eastAsia="楷体_GB2312"/>
          <w:sz w:val="32"/>
          <w:szCs w:val="32"/>
        </w:rPr>
        <w:t>奖助学金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国家助学金</w:t>
      </w:r>
      <w:r>
        <w:rPr>
          <w:rFonts w:ascii="仿宋_GB2312" w:hAnsi="仿宋" w:eastAsia="仿宋_GB2312"/>
          <w:sz w:val="32"/>
          <w:szCs w:val="32"/>
        </w:rPr>
        <w:t>按照经过认定的</w:t>
      </w:r>
      <w:r>
        <w:rPr>
          <w:rFonts w:hint="eastAsia" w:ascii="仿宋_GB2312" w:hAnsi="仿宋" w:eastAsia="仿宋_GB2312"/>
          <w:sz w:val="32"/>
          <w:szCs w:val="32"/>
        </w:rPr>
        <w:t>家庭经济</w:t>
      </w:r>
      <w:r>
        <w:rPr>
          <w:rFonts w:ascii="仿宋_GB2312" w:hAnsi="仿宋" w:eastAsia="仿宋_GB2312"/>
          <w:sz w:val="32"/>
          <w:szCs w:val="32"/>
        </w:rPr>
        <w:t>困难学生比例分配到各学院，由工作组根据实际情况组织评审。</w:t>
      </w:r>
    </w:p>
    <w:p>
      <w:pPr>
        <w:adjustRightInd w:val="0"/>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2.定向到具体学院的</w:t>
      </w:r>
      <w:r>
        <w:rPr>
          <w:rFonts w:hint="eastAsia" w:ascii="仿宋_GB2312" w:hAnsi="仿宋" w:eastAsia="仿宋_GB2312"/>
          <w:sz w:val="32"/>
          <w:szCs w:val="32"/>
        </w:rPr>
        <w:t>奖助</w:t>
      </w:r>
      <w:r>
        <w:rPr>
          <w:rFonts w:ascii="仿宋_GB2312" w:hAnsi="仿宋" w:eastAsia="仿宋_GB2312"/>
          <w:sz w:val="32"/>
          <w:szCs w:val="32"/>
        </w:rPr>
        <w:t>学金，由学生所在学院组织评审，原</w:t>
      </w:r>
      <w:r>
        <w:rPr>
          <w:rFonts w:hint="eastAsia" w:ascii="仿宋_GB2312" w:hAnsi="仿宋" w:eastAsia="仿宋_GB2312"/>
          <w:sz w:val="32"/>
          <w:szCs w:val="32"/>
        </w:rPr>
        <w:t>文科试验班</w:t>
      </w:r>
      <w:r>
        <w:rPr>
          <w:rFonts w:ascii="仿宋_GB2312" w:hAnsi="仿宋" w:eastAsia="仿宋_GB2312"/>
          <w:sz w:val="32"/>
          <w:szCs w:val="32"/>
        </w:rPr>
        <w:t>辅导员可以提供学生表现的相关意见。</w:t>
      </w:r>
    </w:p>
    <w:p>
      <w:pPr>
        <w:adjustRightInd w:val="0"/>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3.未</w:t>
      </w:r>
      <w:r>
        <w:rPr>
          <w:rFonts w:hint="eastAsia" w:ascii="仿宋_GB2312" w:hAnsi="仿宋" w:eastAsia="仿宋_GB2312"/>
          <w:sz w:val="32"/>
          <w:szCs w:val="32"/>
        </w:rPr>
        <w:t>定向</w:t>
      </w:r>
      <w:r>
        <w:rPr>
          <w:rFonts w:ascii="仿宋_GB2312" w:hAnsi="仿宋" w:eastAsia="仿宋_GB2312"/>
          <w:sz w:val="32"/>
          <w:szCs w:val="32"/>
        </w:rPr>
        <w:t>到具体学院的奖助学金，</w:t>
      </w:r>
      <w:r>
        <w:rPr>
          <w:rFonts w:hint="eastAsia" w:ascii="仿宋_GB2312" w:hAnsi="仿宋" w:eastAsia="仿宋_GB2312"/>
          <w:sz w:val="32"/>
          <w:szCs w:val="32"/>
        </w:rPr>
        <w:t>由</w:t>
      </w:r>
      <w:r>
        <w:rPr>
          <w:rFonts w:ascii="仿宋_GB2312" w:hAnsi="仿宋" w:eastAsia="仿宋_GB2312"/>
          <w:sz w:val="32"/>
          <w:szCs w:val="32"/>
        </w:rPr>
        <w:t>工作组组织评审。一般</w:t>
      </w:r>
      <w:r>
        <w:rPr>
          <w:rFonts w:hint="eastAsia" w:ascii="仿宋_GB2312" w:hAnsi="仿宋" w:eastAsia="仿宋_GB2312"/>
          <w:sz w:val="32"/>
          <w:szCs w:val="32"/>
        </w:rPr>
        <w:t>由</w:t>
      </w:r>
      <w:r>
        <w:rPr>
          <w:rFonts w:ascii="仿宋_GB2312" w:hAnsi="仿宋" w:eastAsia="仿宋_GB2312"/>
          <w:sz w:val="32"/>
          <w:szCs w:val="32"/>
        </w:rPr>
        <w:t>学生根据奖助学金具体要求提出申请，</w:t>
      </w:r>
      <w:r>
        <w:rPr>
          <w:rFonts w:hint="eastAsia" w:ascii="仿宋_GB2312" w:hAnsi="仿宋" w:eastAsia="仿宋_GB2312"/>
          <w:sz w:val="32"/>
          <w:szCs w:val="32"/>
        </w:rPr>
        <w:t>工作</w:t>
      </w:r>
      <w:r>
        <w:rPr>
          <w:rFonts w:ascii="仿宋_GB2312" w:hAnsi="仿宋" w:eastAsia="仿宋_GB2312"/>
          <w:sz w:val="32"/>
          <w:szCs w:val="32"/>
        </w:rPr>
        <w:t>组组织评审，</w:t>
      </w:r>
      <w:r>
        <w:rPr>
          <w:rFonts w:hint="eastAsia" w:ascii="仿宋_GB2312" w:hAnsi="仿宋" w:eastAsia="仿宋_GB2312"/>
          <w:sz w:val="32"/>
          <w:szCs w:val="32"/>
        </w:rPr>
        <w:t>根据候选学生的综合成绩确定名单，</w:t>
      </w:r>
      <w:r>
        <w:rPr>
          <w:rFonts w:ascii="仿宋_GB2312" w:hAnsi="仿宋" w:eastAsia="仿宋_GB2312"/>
          <w:sz w:val="32"/>
          <w:szCs w:val="32"/>
        </w:rPr>
        <w:t>报</w:t>
      </w:r>
      <w:r>
        <w:rPr>
          <w:rFonts w:hint="eastAsia" w:ascii="仿宋_GB2312" w:hAnsi="仿宋" w:eastAsia="仿宋_GB2312"/>
          <w:sz w:val="32"/>
          <w:szCs w:val="32"/>
        </w:rPr>
        <w:t>学校</w:t>
      </w:r>
      <w:r>
        <w:rPr>
          <w:rFonts w:ascii="仿宋_GB2312" w:hAnsi="仿宋" w:eastAsia="仿宋_GB2312"/>
          <w:sz w:val="32"/>
          <w:szCs w:val="32"/>
        </w:rPr>
        <w:t>对应单位。</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、附录</w:t>
      </w:r>
    </w:p>
    <w:p>
      <w:pPr>
        <w:adjustRightInd w:val="0"/>
        <w:snapToGrid w:val="0"/>
        <w:spacing w:line="560" w:lineRule="exact"/>
        <w:ind w:firstLine="632" w:firstLineChars="200"/>
        <w:rPr>
          <w:rFonts w:ascii="仿宋_GB2312" w:hAnsi="仿宋" w:eastAsia="仿宋_GB2312"/>
          <w:sz w:val="32"/>
          <w:szCs w:val="32"/>
        </w:rPr>
      </w:pPr>
      <w:r>
        <w:rPr>
          <w:rFonts w:hint="eastAsia" w:ascii="仿宋_GB2312" w:hAnsi="仿宋" w:eastAsia="仿宋_GB2312" w:cs="仿宋"/>
          <w:spacing w:val="-2"/>
          <w:sz w:val="32"/>
          <w:szCs w:val="32"/>
        </w:rPr>
        <w:t>文科试验班托管学院党委受理评奖评优工作的申诉事宜。学生应在公示期内，以书面的形式提交申诉申请。学院党委核查后，在3个工作日内，以口头或书面的形式进行答复。</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本条例未尽事宜</w:t>
      </w:r>
      <w:r>
        <w:rPr>
          <w:rFonts w:ascii="仿宋_GB2312" w:hAnsi="仿宋" w:eastAsia="仿宋_GB2312"/>
          <w:sz w:val="32"/>
          <w:szCs w:val="32"/>
        </w:rPr>
        <w:t>，以学校公布的相关文件为准</w:t>
      </w:r>
      <w:r>
        <w:rPr>
          <w:rFonts w:hint="eastAsia" w:ascii="仿宋_GB2312" w:hAnsi="仿宋" w:eastAsia="仿宋_GB2312"/>
          <w:sz w:val="32"/>
          <w:szCs w:val="32"/>
        </w:rPr>
        <w:t>。如</w:t>
      </w:r>
      <w:r>
        <w:rPr>
          <w:rFonts w:ascii="仿宋_GB2312" w:hAnsi="仿宋" w:eastAsia="仿宋_GB2312"/>
          <w:sz w:val="32"/>
          <w:szCs w:val="32"/>
        </w:rPr>
        <w:t>学校政策发生变化，将同步进行调整，并</w:t>
      </w:r>
      <w:r>
        <w:rPr>
          <w:rFonts w:hint="eastAsia" w:ascii="仿宋_GB2312" w:hAnsi="仿宋" w:eastAsia="仿宋_GB2312"/>
          <w:sz w:val="32"/>
          <w:szCs w:val="32"/>
        </w:rPr>
        <w:t>及时</w:t>
      </w:r>
      <w:r>
        <w:rPr>
          <w:rFonts w:ascii="仿宋_GB2312" w:hAnsi="仿宋" w:eastAsia="仿宋_GB2312"/>
          <w:sz w:val="32"/>
          <w:szCs w:val="32"/>
        </w:rPr>
        <w:t>公布。</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本条例</w:t>
      </w:r>
      <w:r>
        <w:rPr>
          <w:rFonts w:ascii="仿宋_GB2312" w:hAnsi="仿宋" w:eastAsia="仿宋_GB2312"/>
          <w:sz w:val="32"/>
          <w:szCs w:val="32"/>
        </w:rPr>
        <w:t>由</w:t>
      </w:r>
      <w:r>
        <w:rPr>
          <w:rFonts w:hint="eastAsia" w:ascii="仿宋_GB2312" w:hAnsi="仿宋" w:eastAsia="仿宋_GB2312" w:cs="仿宋"/>
          <w:spacing w:val="-2"/>
          <w:sz w:val="32"/>
          <w:szCs w:val="32"/>
        </w:rPr>
        <w:t>文科试验班托管学院</w:t>
      </w:r>
      <w:r>
        <w:rPr>
          <w:rFonts w:ascii="仿宋_GB2312" w:hAnsi="仿宋" w:eastAsia="仿宋_GB2312"/>
          <w:sz w:val="32"/>
          <w:szCs w:val="32"/>
        </w:rPr>
        <w:t>负责解释。</w:t>
      </w:r>
    </w:p>
    <w:p>
      <w:pPr>
        <w:wordWrap w:val="0"/>
        <w:adjustRightInd w:val="0"/>
        <w:snapToGrid w:val="0"/>
        <w:spacing w:line="560" w:lineRule="exact"/>
        <w:ind w:firstLine="643" w:firstLineChars="200"/>
        <w:jc w:val="right"/>
        <w:rPr>
          <w:rFonts w:ascii="仿宋_GB2312" w:hAnsi="仿宋" w:eastAsia="仿宋_GB2312"/>
          <w:b/>
          <w:sz w:val="32"/>
          <w:szCs w:val="32"/>
        </w:rPr>
      </w:pPr>
    </w:p>
    <w:p>
      <w:pPr>
        <w:adjustRightInd w:val="0"/>
        <w:snapToGrid w:val="0"/>
        <w:spacing w:line="560" w:lineRule="exact"/>
        <w:ind w:firstLine="632" w:firstLineChars="200"/>
        <w:jc w:val="right"/>
        <w:rPr>
          <w:rFonts w:ascii="仿宋_GB2312" w:hAnsi="仿宋" w:eastAsia="仿宋_GB2312" w:cs="仿宋"/>
          <w:spacing w:val="-2"/>
          <w:sz w:val="32"/>
          <w:szCs w:val="32"/>
        </w:rPr>
      </w:pPr>
      <w:r>
        <w:rPr>
          <w:rFonts w:hint="eastAsia" w:ascii="仿宋_GB2312" w:hAnsi="仿宋" w:eastAsia="仿宋_GB2312" w:cs="仿宋"/>
          <w:spacing w:val="-2"/>
          <w:sz w:val="32"/>
          <w:szCs w:val="32"/>
        </w:rPr>
        <w:t>文科试验班评奖评优工作组</w:t>
      </w:r>
    </w:p>
    <w:p>
      <w:pPr>
        <w:adjustRightInd w:val="0"/>
        <w:snapToGrid w:val="0"/>
        <w:spacing w:line="560" w:lineRule="exact"/>
        <w:ind w:firstLine="632" w:firstLineChars="200"/>
        <w:jc w:val="right"/>
        <w:rPr>
          <w:rFonts w:ascii="仿宋_GB2312" w:hAnsi="仿宋" w:eastAsia="仿宋_GB2312" w:cs="仿宋"/>
          <w:spacing w:val="-2"/>
          <w:sz w:val="32"/>
          <w:szCs w:val="32"/>
        </w:rPr>
      </w:pPr>
      <w:r>
        <w:rPr>
          <w:rFonts w:hint="eastAsia" w:ascii="仿宋_GB2312" w:hAnsi="仿宋" w:eastAsia="仿宋_GB2312" w:cs="仿宋"/>
          <w:spacing w:val="-2"/>
          <w:sz w:val="32"/>
          <w:szCs w:val="32"/>
        </w:rPr>
        <w:t>（人文学院代章）</w:t>
      </w:r>
    </w:p>
    <w:p>
      <w:pPr>
        <w:adjustRightInd w:val="0"/>
        <w:snapToGrid w:val="0"/>
        <w:spacing w:line="560" w:lineRule="exact"/>
        <w:ind w:firstLine="632" w:firstLineChars="200"/>
        <w:jc w:val="right"/>
        <w:rPr>
          <w:rFonts w:ascii="仿宋_GB2312" w:hAnsi="仿宋" w:eastAsia="仿宋_GB2312" w:cs="仿宋"/>
          <w:spacing w:val="-2"/>
          <w:sz w:val="32"/>
          <w:szCs w:val="32"/>
        </w:rPr>
      </w:pPr>
      <w:r>
        <w:rPr>
          <w:rFonts w:hint="eastAsia" w:ascii="仿宋_GB2312" w:hAnsi="仿宋" w:eastAsia="仿宋_GB2312" w:cs="仿宋"/>
          <w:spacing w:val="-2"/>
          <w:sz w:val="32"/>
          <w:szCs w:val="32"/>
        </w:rPr>
        <w:t>202</w:t>
      </w:r>
      <w:r>
        <w:rPr>
          <w:rFonts w:ascii="仿宋_GB2312" w:hAnsi="仿宋" w:eastAsia="仿宋_GB2312" w:cs="仿宋"/>
          <w:spacing w:val="-2"/>
          <w:sz w:val="32"/>
          <w:szCs w:val="32"/>
        </w:rPr>
        <w:t>3</w:t>
      </w:r>
      <w:r>
        <w:rPr>
          <w:rFonts w:hint="eastAsia" w:ascii="仿宋_GB2312" w:hAnsi="仿宋" w:eastAsia="仿宋_GB2312" w:cs="仿宋"/>
          <w:spacing w:val="-2"/>
          <w:sz w:val="32"/>
          <w:szCs w:val="32"/>
        </w:rPr>
        <w:t>年9月</w:t>
      </w:r>
      <w:r>
        <w:rPr>
          <w:rFonts w:ascii="仿宋_GB2312" w:hAnsi="仿宋" w:eastAsia="仿宋_GB2312" w:cs="仿宋"/>
          <w:spacing w:val="-2"/>
          <w:sz w:val="32"/>
          <w:szCs w:val="32"/>
        </w:rPr>
        <w:t>22</w:t>
      </w:r>
      <w:r>
        <w:rPr>
          <w:rFonts w:hint="eastAsia" w:ascii="仿宋_GB2312" w:hAnsi="仿宋" w:eastAsia="仿宋_GB2312" w:cs="仿宋"/>
          <w:spacing w:val="-2"/>
          <w:sz w:val="32"/>
          <w:szCs w:val="32"/>
        </w:rPr>
        <w:t>日</w:t>
      </w:r>
    </w:p>
    <w:p>
      <w:pPr>
        <w:widowControl/>
        <w:jc w:val="left"/>
        <w:rPr>
          <w:rFonts w:ascii="仿宋_GB2312" w:hAnsi="仿宋" w:eastAsia="仿宋_GB2312" w:cs="仿宋"/>
          <w:spacing w:val="-2"/>
          <w:sz w:val="32"/>
          <w:szCs w:val="32"/>
        </w:rPr>
      </w:pPr>
      <w:r>
        <w:rPr>
          <w:rFonts w:ascii="仿宋_GB2312" w:hAnsi="仿宋" w:eastAsia="仿宋_GB2312" w:cs="仿宋"/>
          <w:spacing w:val="-2"/>
          <w:sz w:val="32"/>
          <w:szCs w:val="32"/>
        </w:rPr>
        <w:br w:type="page"/>
      </w:r>
    </w:p>
    <w:p>
      <w:pPr>
        <w:autoSpaceDE w:val="0"/>
        <w:adjustRightInd w:val="0"/>
        <w:snapToGrid w:val="0"/>
        <w:spacing w:line="560" w:lineRule="exact"/>
        <w:jc w:val="left"/>
        <w:textAlignment w:val="baseline"/>
        <w:outlineLvl w:val="0"/>
        <w:rPr>
          <w:rFonts w:ascii="黑体" w:hAnsi="黑体" w:eastAsia="黑体" w:cs="黑体"/>
          <w:b/>
          <w:snapToGrid w:val="0"/>
          <w:sz w:val="30"/>
          <w:szCs w:val="30"/>
        </w:rPr>
      </w:pPr>
      <w:r>
        <w:rPr>
          <w:rFonts w:hint="eastAsia" w:ascii="黑体" w:hAnsi="黑体" w:eastAsia="黑体" w:cs="黑体"/>
          <w:b/>
          <w:snapToGrid w:val="0"/>
          <w:sz w:val="30"/>
          <w:szCs w:val="30"/>
        </w:rPr>
        <w:t>附件</w:t>
      </w:r>
      <w:r>
        <w:rPr>
          <w:rFonts w:ascii="黑体" w:hAnsi="黑体" w:eastAsia="黑体" w:cs="黑体"/>
          <w:b/>
          <w:snapToGrid w:val="0"/>
          <w:sz w:val="30"/>
          <w:szCs w:val="30"/>
        </w:rPr>
        <w:t>1</w:t>
      </w:r>
    </w:p>
    <w:p>
      <w:pPr>
        <w:autoSpaceDE w:val="0"/>
        <w:adjustRightInd w:val="0"/>
        <w:snapToGrid w:val="0"/>
        <w:spacing w:before="161" w:line="560" w:lineRule="exact"/>
        <w:jc w:val="center"/>
        <w:textAlignment w:val="baseline"/>
        <w:rPr>
          <w:rFonts w:ascii="方正小标宋简体" w:hAnsi="方正小标宋简体" w:eastAsia="方正小标宋简体" w:cs="方正小标宋简体"/>
          <w:snapToGrid w:val="0"/>
          <w:spacing w:val="18"/>
          <w:sz w:val="44"/>
          <w:szCs w:val="44"/>
        </w:rPr>
      </w:pPr>
      <w:r>
        <w:rPr>
          <w:rFonts w:hint="eastAsia" w:ascii="方正小标宋简体" w:hAnsi="方正小标宋简体" w:eastAsia="方正小标宋简体" w:cs="方正小标宋简体"/>
          <w:snapToGrid w:val="0"/>
          <w:spacing w:val="18"/>
          <w:sz w:val="44"/>
          <w:szCs w:val="44"/>
        </w:rPr>
        <w:t>文科试验班奖学金评审计分标准</w:t>
      </w:r>
    </w:p>
    <w:p>
      <w:pPr>
        <w:autoSpaceDE w:val="0"/>
        <w:adjustRightInd w:val="0"/>
        <w:snapToGrid w:val="0"/>
        <w:spacing w:before="161" w:line="560" w:lineRule="exact"/>
        <w:jc w:val="center"/>
        <w:textAlignment w:val="baseline"/>
        <w:rPr>
          <w:rFonts w:ascii="方正小标宋简体" w:hAnsi="方正小标宋简体" w:eastAsia="方正小标宋简体" w:cs="方正小标宋简体"/>
          <w:snapToGrid w:val="0"/>
          <w:spacing w:val="18"/>
          <w:sz w:val="44"/>
          <w:szCs w:val="44"/>
        </w:rPr>
      </w:pPr>
    </w:p>
    <w:p>
      <w:pPr>
        <w:widowControl/>
        <w:numPr>
          <w:ilvl w:val="0"/>
          <w:numId w:val="1"/>
        </w:numPr>
        <w:kinsoku w:val="0"/>
        <w:autoSpaceDE w:val="0"/>
        <w:autoSpaceDN w:val="0"/>
        <w:adjustRightInd w:val="0"/>
        <w:snapToGrid w:val="0"/>
        <w:spacing w:line="560" w:lineRule="exact"/>
        <w:jc w:val="left"/>
        <w:textAlignment w:val="baseline"/>
        <w:outlineLvl w:val="0"/>
        <w:rPr>
          <w:rFonts w:ascii="黑体" w:hAnsi="黑体" w:eastAsia="黑体" w:cs="仿宋"/>
          <w:snapToGrid w:val="0"/>
          <w:spacing w:val="-1"/>
          <w:position w:val="1"/>
          <w:sz w:val="32"/>
          <w:szCs w:val="32"/>
        </w:rPr>
      </w:pPr>
      <w:r>
        <w:rPr>
          <w:rFonts w:hint="eastAsia" w:ascii="黑体" w:hAnsi="黑体" w:eastAsia="黑体" w:cs="仿宋"/>
          <w:snapToGrid w:val="0"/>
          <w:spacing w:val="-1"/>
          <w:position w:val="1"/>
          <w:sz w:val="32"/>
          <w:szCs w:val="32"/>
        </w:rPr>
        <w:t>学习成绩标准</w:t>
      </w:r>
    </w:p>
    <w:p>
      <w:pPr>
        <w:tabs>
          <w:tab w:val="left" w:pos="0"/>
        </w:tabs>
        <w:autoSpaceDE w:val="0"/>
        <w:adjustRightInd w:val="0"/>
        <w:snapToGrid w:val="0"/>
        <w:spacing w:line="560" w:lineRule="exact"/>
        <w:ind w:firstLine="628" w:firstLineChars="200"/>
        <w:jc w:val="left"/>
        <w:textAlignment w:val="baseline"/>
        <w:rPr>
          <w:rFonts w:ascii="仿宋_GB2312" w:hAnsi="仿宋" w:eastAsia="仿宋_GB2312" w:cs="仿宋"/>
          <w:snapToGrid w:val="0"/>
          <w:sz w:val="32"/>
          <w:szCs w:val="32"/>
        </w:rPr>
      </w:pPr>
      <w:r>
        <w:rPr>
          <w:rFonts w:hint="eastAsia" w:ascii="仿宋_GB2312" w:hAnsi="仿宋" w:eastAsia="仿宋_GB2312" w:cs="仿宋"/>
          <w:snapToGrid w:val="0"/>
          <w:spacing w:val="-3"/>
          <w:sz w:val="32"/>
          <w:szCs w:val="32"/>
        </w:rPr>
        <w:t>参评学生以评定学年的首修平均绩点、首修平均分或排名参评。</w:t>
      </w:r>
    </w:p>
    <w:p>
      <w:pPr>
        <w:widowControl/>
        <w:numPr>
          <w:ilvl w:val="0"/>
          <w:numId w:val="1"/>
        </w:numPr>
        <w:kinsoku w:val="0"/>
        <w:autoSpaceDE w:val="0"/>
        <w:autoSpaceDN w:val="0"/>
        <w:adjustRightInd w:val="0"/>
        <w:snapToGrid w:val="0"/>
        <w:spacing w:line="560" w:lineRule="exact"/>
        <w:jc w:val="left"/>
        <w:textAlignment w:val="baseline"/>
        <w:outlineLvl w:val="0"/>
        <w:rPr>
          <w:rFonts w:ascii="仿宋_GB2312" w:hAnsi="仿宋" w:eastAsia="仿宋_GB2312" w:cs="仿宋"/>
          <w:b/>
          <w:snapToGrid w:val="0"/>
          <w:spacing w:val="-1"/>
          <w:position w:val="1"/>
          <w:sz w:val="32"/>
          <w:szCs w:val="32"/>
        </w:rPr>
      </w:pPr>
      <w:r>
        <w:rPr>
          <w:rFonts w:hint="eastAsia" w:ascii="黑体" w:hAnsi="黑体" w:eastAsia="黑体" w:cs="仿宋"/>
          <w:snapToGrid w:val="0"/>
          <w:spacing w:val="-1"/>
          <w:position w:val="1"/>
          <w:sz w:val="32"/>
          <w:szCs w:val="32"/>
        </w:rPr>
        <w:t>社会</w:t>
      </w:r>
      <w:r>
        <w:rPr>
          <w:rFonts w:hint="eastAsia" w:ascii="黑体" w:hAnsi="黑体" w:eastAsia="黑体" w:cs="仿宋"/>
          <w:snapToGrid w:val="0"/>
          <w:spacing w:val="-1"/>
          <w:position w:val="1"/>
          <w:sz w:val="32"/>
          <w:szCs w:val="32"/>
          <w:lang w:val="en-US" w:eastAsia="zh-CN"/>
        </w:rPr>
        <w:t>活动及</w:t>
      </w:r>
      <w:r>
        <w:rPr>
          <w:rFonts w:hint="eastAsia" w:ascii="黑体" w:hAnsi="黑体" w:eastAsia="黑体" w:cs="仿宋"/>
          <w:snapToGrid w:val="0"/>
          <w:spacing w:val="-1"/>
          <w:position w:val="1"/>
          <w:sz w:val="32"/>
          <w:szCs w:val="32"/>
        </w:rPr>
        <w:t>学生工作类</w:t>
      </w:r>
      <w:r>
        <w:rPr>
          <w:rFonts w:hint="eastAsia" w:ascii="黑体" w:hAnsi="黑体" w:eastAsia="黑体" w:cs="仿宋"/>
          <w:snapToGrid w:val="0"/>
          <w:spacing w:val="-1"/>
          <w:position w:val="1"/>
          <w:sz w:val="32"/>
          <w:szCs w:val="32"/>
        </w:rPr>
        <w:t>成绩标准</w:t>
      </w:r>
    </w:p>
    <w:p>
      <w:pPr>
        <w:autoSpaceDE w:val="0"/>
        <w:adjustRightInd w:val="0"/>
        <w:snapToGrid w:val="0"/>
        <w:spacing w:line="560" w:lineRule="exact"/>
        <w:ind w:firstLine="624" w:firstLineChars="200"/>
        <w:jc w:val="left"/>
        <w:textAlignment w:val="baseline"/>
        <w:rPr>
          <w:rFonts w:ascii="仿宋_GB2312" w:hAnsi="仿宋" w:eastAsia="仿宋_GB2312" w:cs="仿宋"/>
          <w:snapToGrid w:val="0"/>
          <w:sz w:val="32"/>
          <w:szCs w:val="32"/>
        </w:rPr>
      </w:pPr>
      <w:r>
        <w:rPr>
          <w:rFonts w:hint="eastAsia" w:ascii="仿宋_GB2312" w:hAnsi="仿宋" w:eastAsia="仿宋_GB2312" w:cs="仿宋"/>
          <w:snapToGrid w:val="0"/>
          <w:spacing w:val="-4"/>
          <w:sz w:val="32"/>
          <w:szCs w:val="32"/>
        </w:rPr>
        <w:t>学生本人填写《文科试验班</w:t>
      </w:r>
      <w:r>
        <w:rPr>
          <w:rFonts w:hint="eastAsia" w:ascii="仿宋_GB2312" w:hAnsi="仿宋" w:eastAsia="仿宋_GB2312" w:cs="仿宋"/>
          <w:snapToGrid w:val="0"/>
          <w:spacing w:val="-10"/>
          <w:sz w:val="32"/>
          <w:szCs w:val="32"/>
        </w:rPr>
        <w:t>奖学金申请表</w:t>
      </w:r>
      <w:r>
        <w:rPr>
          <w:rFonts w:hint="eastAsia" w:ascii="仿宋_GB2312" w:hAnsi="仿宋" w:eastAsia="仿宋_GB2312" w:cs="仿宋"/>
          <w:snapToGrid w:val="0"/>
          <w:spacing w:val="-2"/>
          <w:sz w:val="32"/>
          <w:szCs w:val="32"/>
        </w:rPr>
        <w:t xml:space="preserve">》（附件 </w:t>
      </w:r>
      <w:r>
        <w:rPr>
          <w:rFonts w:ascii="仿宋_GB2312" w:hAnsi="仿宋" w:eastAsia="仿宋_GB2312" w:cs="仿宋"/>
          <w:snapToGrid w:val="0"/>
          <w:spacing w:val="-2"/>
          <w:sz w:val="32"/>
          <w:szCs w:val="32"/>
        </w:rPr>
        <w:t>2</w:t>
      </w:r>
      <w:r>
        <w:rPr>
          <w:rFonts w:hint="eastAsia" w:ascii="仿宋_GB2312" w:hAnsi="仿宋" w:eastAsia="仿宋_GB2312" w:cs="仿宋"/>
          <w:snapToGrid w:val="0"/>
          <w:spacing w:val="-2"/>
          <w:sz w:val="32"/>
          <w:szCs w:val="32"/>
        </w:rPr>
        <w:t>）中</w:t>
      </w:r>
      <w:r>
        <w:rPr>
          <w:rFonts w:hint="eastAsia" w:ascii="仿宋_GB2312" w:hAnsi="仿宋" w:eastAsia="仿宋_GB2312" w:cs="仿宋"/>
          <w:color w:val="auto"/>
          <w:spacing w:val="-4"/>
          <w:sz w:val="32"/>
          <w:szCs w:val="32"/>
        </w:rPr>
        <w:t>社会</w:t>
      </w:r>
      <w:r>
        <w:rPr>
          <w:rFonts w:hint="eastAsia" w:ascii="仿宋_GB2312" w:hAnsi="仿宋" w:eastAsia="仿宋_GB2312" w:cs="仿宋"/>
          <w:color w:val="auto"/>
          <w:spacing w:val="-4"/>
          <w:sz w:val="32"/>
          <w:szCs w:val="32"/>
          <w:lang w:val="en-US" w:eastAsia="zh-CN"/>
        </w:rPr>
        <w:t>活动及</w:t>
      </w:r>
      <w:r>
        <w:rPr>
          <w:rFonts w:hint="eastAsia" w:ascii="仿宋_GB2312" w:hAnsi="仿宋" w:eastAsia="仿宋_GB2312" w:cs="仿宋"/>
          <w:color w:val="auto"/>
          <w:spacing w:val="-4"/>
          <w:sz w:val="32"/>
          <w:szCs w:val="32"/>
        </w:rPr>
        <w:t>学生工作类</w:t>
      </w:r>
      <w:r>
        <w:rPr>
          <w:rFonts w:hint="eastAsia" w:ascii="仿宋_GB2312" w:hAnsi="仿宋" w:eastAsia="仿宋_GB2312" w:cs="仿宋"/>
          <w:snapToGrid w:val="0"/>
          <w:spacing w:val="-2"/>
          <w:sz w:val="32"/>
          <w:szCs w:val="32"/>
        </w:rPr>
        <w:t>积分认定部分，</w:t>
      </w:r>
      <w:r>
        <w:rPr>
          <w:rFonts w:hint="eastAsia" w:ascii="仿宋_GB2312" w:hAnsi="仿宋" w:eastAsia="仿宋_GB2312" w:cs="仿宋"/>
          <w:snapToGrid w:val="0"/>
          <w:sz w:val="32"/>
          <w:szCs w:val="32"/>
        </w:rPr>
        <w:t>连同相关</w:t>
      </w:r>
      <w:r>
        <w:rPr>
          <w:rFonts w:hint="eastAsia" w:ascii="仿宋_GB2312" w:hAnsi="仿宋" w:eastAsia="仿宋_GB2312" w:cs="仿宋"/>
          <w:snapToGrid w:val="0"/>
          <w:spacing w:val="-8"/>
          <w:sz w:val="32"/>
          <w:szCs w:val="32"/>
        </w:rPr>
        <w:t>证明材料</w:t>
      </w:r>
      <w:r>
        <w:rPr>
          <w:rFonts w:hint="eastAsia" w:ascii="仿宋_GB2312" w:hAnsi="仿宋" w:eastAsia="仿宋_GB2312" w:cs="仿宋"/>
          <w:snapToGrid w:val="0"/>
          <w:spacing w:val="-5"/>
          <w:sz w:val="32"/>
          <w:szCs w:val="32"/>
        </w:rPr>
        <w:t>提</w:t>
      </w:r>
      <w:r>
        <w:rPr>
          <w:rFonts w:hint="eastAsia" w:ascii="仿宋_GB2312" w:hAnsi="仿宋" w:eastAsia="仿宋_GB2312" w:cs="仿宋"/>
          <w:snapToGrid w:val="0"/>
          <w:spacing w:val="-4"/>
          <w:sz w:val="32"/>
          <w:szCs w:val="32"/>
        </w:rPr>
        <w:t>交至院学办；</w:t>
      </w:r>
      <w:r>
        <w:rPr>
          <w:rFonts w:hint="eastAsia" w:ascii="仿宋_GB2312" w:hAnsi="仿宋" w:eastAsia="仿宋_GB2312" w:cs="仿宋"/>
          <w:snapToGrid w:val="0"/>
          <w:spacing w:val="-2"/>
          <w:sz w:val="32"/>
          <w:szCs w:val="32"/>
        </w:rPr>
        <w:t>由托管学院</w:t>
      </w:r>
      <w:r>
        <w:rPr>
          <w:rFonts w:hint="eastAsia" w:ascii="仿宋_GB2312" w:hAnsi="仿宋" w:eastAsia="仿宋_GB2312" w:cs="仿宋"/>
          <w:snapToGrid w:val="0"/>
          <w:spacing w:val="-1"/>
          <w:sz w:val="32"/>
          <w:szCs w:val="32"/>
        </w:rPr>
        <w:t>学办根据《文科试验班</w:t>
      </w:r>
      <w:r>
        <w:rPr>
          <w:rFonts w:hint="eastAsia" w:ascii="仿宋_GB2312" w:hAnsi="仿宋" w:eastAsia="仿宋_GB2312" w:cs="仿宋"/>
          <w:color w:val="auto"/>
          <w:spacing w:val="-4"/>
          <w:sz w:val="32"/>
          <w:szCs w:val="32"/>
        </w:rPr>
        <w:t>社会</w:t>
      </w:r>
      <w:r>
        <w:rPr>
          <w:rFonts w:hint="eastAsia" w:ascii="仿宋_GB2312" w:hAnsi="仿宋" w:eastAsia="仿宋_GB2312" w:cs="仿宋"/>
          <w:color w:val="auto"/>
          <w:spacing w:val="-4"/>
          <w:sz w:val="32"/>
          <w:szCs w:val="32"/>
          <w:lang w:val="en-US" w:eastAsia="zh-CN"/>
        </w:rPr>
        <w:t>活动及</w:t>
      </w:r>
      <w:r>
        <w:rPr>
          <w:rFonts w:hint="eastAsia" w:ascii="仿宋_GB2312" w:hAnsi="仿宋" w:eastAsia="仿宋_GB2312" w:cs="仿宋"/>
          <w:color w:val="auto"/>
          <w:spacing w:val="-4"/>
          <w:sz w:val="32"/>
          <w:szCs w:val="32"/>
        </w:rPr>
        <w:t>学生工作类</w:t>
      </w:r>
      <w:r>
        <w:rPr>
          <w:rFonts w:hint="eastAsia" w:ascii="仿宋_GB2312" w:hAnsi="仿宋" w:eastAsia="仿宋_GB2312" w:cs="仿宋"/>
          <w:snapToGrid w:val="0"/>
          <w:spacing w:val="-1"/>
          <w:sz w:val="32"/>
          <w:szCs w:val="32"/>
        </w:rPr>
        <w:t>积分计分表》完成计</w:t>
      </w:r>
      <w:r>
        <w:rPr>
          <w:rFonts w:hint="eastAsia" w:ascii="仿宋_GB2312" w:hAnsi="仿宋" w:eastAsia="仿宋_GB2312" w:cs="仿宋"/>
          <w:snapToGrid w:val="0"/>
          <w:sz w:val="32"/>
          <w:szCs w:val="32"/>
        </w:rPr>
        <w:t>分工作。</w:t>
      </w:r>
    </w:p>
    <w:p>
      <w:pPr>
        <w:widowControl/>
        <w:numPr>
          <w:ilvl w:val="0"/>
          <w:numId w:val="1"/>
        </w:numPr>
        <w:kinsoku w:val="0"/>
        <w:autoSpaceDE w:val="0"/>
        <w:autoSpaceDN w:val="0"/>
        <w:adjustRightInd w:val="0"/>
        <w:snapToGrid w:val="0"/>
        <w:spacing w:line="560" w:lineRule="exact"/>
        <w:jc w:val="left"/>
        <w:textAlignment w:val="baseline"/>
        <w:outlineLvl w:val="0"/>
        <w:rPr>
          <w:rFonts w:ascii="黑体" w:hAnsi="黑体" w:eastAsia="黑体" w:cs="仿宋"/>
          <w:snapToGrid w:val="0"/>
          <w:spacing w:val="-1"/>
          <w:position w:val="1"/>
          <w:sz w:val="32"/>
          <w:szCs w:val="32"/>
        </w:rPr>
      </w:pPr>
      <w:r>
        <w:rPr>
          <w:rFonts w:hint="eastAsia" w:ascii="黑体" w:hAnsi="黑体" w:eastAsia="黑体" w:cs="仿宋"/>
          <w:snapToGrid w:val="0"/>
          <w:spacing w:val="-1"/>
          <w:position w:val="1"/>
          <w:sz w:val="32"/>
          <w:szCs w:val="32"/>
        </w:rPr>
        <w:t>学科竞赛及科研活动类成绩标准</w:t>
      </w:r>
    </w:p>
    <w:p>
      <w:pPr>
        <w:autoSpaceDE w:val="0"/>
        <w:adjustRightInd w:val="0"/>
        <w:snapToGrid w:val="0"/>
        <w:spacing w:line="560" w:lineRule="exact"/>
        <w:ind w:firstLine="636" w:firstLineChars="200"/>
        <w:jc w:val="left"/>
        <w:textAlignment w:val="baseline"/>
        <w:outlineLvl w:val="0"/>
        <w:rPr>
          <w:rFonts w:ascii="仿宋_GB2312" w:hAnsi="仿宋" w:eastAsia="仿宋_GB2312" w:cs="仿宋"/>
          <w:snapToGrid w:val="0"/>
          <w:sz w:val="32"/>
          <w:szCs w:val="32"/>
        </w:rPr>
      </w:pPr>
      <w:r>
        <w:rPr>
          <w:rFonts w:hint="eastAsia" w:ascii="仿宋_GB2312" w:hAnsi="仿宋" w:eastAsia="仿宋_GB2312" w:cs="仿宋"/>
          <w:snapToGrid w:val="0"/>
          <w:spacing w:val="-1"/>
          <w:sz w:val="32"/>
          <w:szCs w:val="32"/>
        </w:rPr>
        <w:t>学生本人填写</w:t>
      </w:r>
      <w:r>
        <w:rPr>
          <w:rFonts w:hint="eastAsia" w:ascii="仿宋_GB2312" w:hAnsi="仿宋" w:eastAsia="仿宋_GB2312" w:cs="仿宋"/>
          <w:snapToGrid w:val="0"/>
          <w:spacing w:val="-4"/>
          <w:sz w:val="32"/>
          <w:szCs w:val="32"/>
        </w:rPr>
        <w:t>《文科试验班</w:t>
      </w:r>
      <w:r>
        <w:rPr>
          <w:rFonts w:hint="eastAsia" w:ascii="仿宋_GB2312" w:hAnsi="仿宋" w:eastAsia="仿宋_GB2312" w:cs="仿宋"/>
          <w:snapToGrid w:val="0"/>
          <w:spacing w:val="-10"/>
          <w:sz w:val="32"/>
          <w:szCs w:val="32"/>
        </w:rPr>
        <w:t>奖学金申请表</w:t>
      </w:r>
      <w:r>
        <w:rPr>
          <w:rFonts w:hint="eastAsia" w:ascii="仿宋_GB2312" w:hAnsi="仿宋" w:eastAsia="仿宋_GB2312" w:cs="仿宋"/>
          <w:snapToGrid w:val="0"/>
          <w:spacing w:val="-2"/>
          <w:sz w:val="32"/>
          <w:szCs w:val="32"/>
        </w:rPr>
        <w:t xml:space="preserve">》（附件 </w:t>
      </w:r>
      <w:r>
        <w:rPr>
          <w:rFonts w:ascii="仿宋_GB2312" w:hAnsi="仿宋" w:eastAsia="仿宋_GB2312" w:cs="仿宋"/>
          <w:snapToGrid w:val="0"/>
          <w:spacing w:val="-2"/>
          <w:sz w:val="32"/>
          <w:szCs w:val="32"/>
        </w:rPr>
        <w:t>2</w:t>
      </w:r>
      <w:r>
        <w:rPr>
          <w:rFonts w:hint="eastAsia" w:ascii="仿宋_GB2312" w:hAnsi="仿宋" w:eastAsia="仿宋_GB2312" w:cs="仿宋"/>
          <w:snapToGrid w:val="0"/>
          <w:spacing w:val="-2"/>
          <w:sz w:val="32"/>
          <w:szCs w:val="32"/>
        </w:rPr>
        <w:t>）中</w:t>
      </w:r>
      <w:r>
        <w:rPr>
          <w:rFonts w:hint="eastAsia" w:ascii="仿宋_GB2312" w:hAnsi="仿宋" w:eastAsia="仿宋_GB2312" w:cs="仿宋"/>
          <w:snapToGrid w:val="0"/>
          <w:spacing w:val="-1"/>
          <w:sz w:val="32"/>
          <w:szCs w:val="32"/>
        </w:rPr>
        <w:t>学术</w:t>
      </w:r>
      <w:r>
        <w:rPr>
          <w:rFonts w:hint="eastAsia" w:ascii="仿宋_GB2312" w:hAnsi="仿宋" w:eastAsia="仿宋_GB2312" w:cs="仿宋"/>
          <w:snapToGrid w:val="0"/>
          <w:sz w:val="32"/>
          <w:szCs w:val="32"/>
        </w:rPr>
        <w:t>创新能力</w:t>
      </w:r>
      <w:r>
        <w:rPr>
          <w:rFonts w:hint="eastAsia" w:ascii="仿宋_GB2312" w:hAnsi="仿宋" w:eastAsia="仿宋_GB2312" w:cs="仿宋"/>
          <w:snapToGrid w:val="0"/>
          <w:spacing w:val="-2"/>
          <w:sz w:val="32"/>
          <w:szCs w:val="32"/>
        </w:rPr>
        <w:t>部分</w:t>
      </w:r>
      <w:r>
        <w:rPr>
          <w:rFonts w:hint="eastAsia" w:ascii="仿宋_GB2312" w:hAnsi="仿宋" w:eastAsia="仿宋_GB2312" w:cs="仿宋"/>
          <w:snapToGrid w:val="0"/>
          <w:sz w:val="32"/>
          <w:szCs w:val="32"/>
        </w:rPr>
        <w:t>，连同相关</w:t>
      </w:r>
      <w:r>
        <w:rPr>
          <w:rFonts w:hint="eastAsia" w:ascii="仿宋_GB2312" w:hAnsi="仿宋" w:eastAsia="仿宋_GB2312" w:cs="仿宋"/>
          <w:snapToGrid w:val="0"/>
          <w:spacing w:val="-8"/>
          <w:sz w:val="32"/>
          <w:szCs w:val="32"/>
        </w:rPr>
        <w:t>证明材料</w:t>
      </w:r>
      <w:r>
        <w:rPr>
          <w:rFonts w:hint="eastAsia" w:ascii="仿宋_GB2312" w:hAnsi="仿宋" w:eastAsia="仿宋_GB2312" w:cs="仿宋"/>
          <w:snapToGrid w:val="0"/>
          <w:spacing w:val="-5"/>
          <w:sz w:val="32"/>
          <w:szCs w:val="32"/>
        </w:rPr>
        <w:t>提</w:t>
      </w:r>
      <w:r>
        <w:rPr>
          <w:rFonts w:hint="eastAsia" w:ascii="仿宋_GB2312" w:hAnsi="仿宋" w:eastAsia="仿宋_GB2312" w:cs="仿宋"/>
          <w:snapToGrid w:val="0"/>
          <w:spacing w:val="-4"/>
          <w:sz w:val="32"/>
          <w:szCs w:val="32"/>
        </w:rPr>
        <w:t>交至院学办；根据学生的申请材料或答辩情况，由工作组给予不高于5分的加分，取各评委加分的平</w:t>
      </w:r>
      <w:r>
        <w:rPr>
          <w:rFonts w:hint="eastAsia" w:ascii="仿宋_GB2312" w:hAnsi="仿宋" w:eastAsia="仿宋_GB2312" w:cs="仿宋"/>
          <w:snapToGrid w:val="0"/>
          <w:spacing w:val="-1"/>
          <w:sz w:val="32"/>
          <w:szCs w:val="32"/>
        </w:rPr>
        <w:t>均值为该学生的此类得</w:t>
      </w:r>
      <w:r>
        <w:rPr>
          <w:rFonts w:hint="eastAsia" w:ascii="仿宋_GB2312" w:hAnsi="仿宋" w:eastAsia="仿宋_GB2312" w:cs="仿宋"/>
          <w:snapToGrid w:val="0"/>
          <w:sz w:val="32"/>
          <w:szCs w:val="32"/>
        </w:rPr>
        <w:t>分。</w:t>
      </w:r>
    </w:p>
    <w:p>
      <w:pPr>
        <w:widowControl/>
        <w:numPr>
          <w:ilvl w:val="0"/>
          <w:numId w:val="1"/>
        </w:numPr>
        <w:kinsoku w:val="0"/>
        <w:autoSpaceDE w:val="0"/>
        <w:autoSpaceDN w:val="0"/>
        <w:adjustRightInd w:val="0"/>
        <w:snapToGrid w:val="0"/>
        <w:spacing w:line="560" w:lineRule="exact"/>
        <w:jc w:val="left"/>
        <w:textAlignment w:val="baseline"/>
        <w:outlineLvl w:val="0"/>
        <w:rPr>
          <w:rFonts w:ascii="黑体" w:hAnsi="黑体" w:eastAsia="黑体" w:cs="仿宋"/>
          <w:snapToGrid w:val="0"/>
          <w:spacing w:val="-1"/>
          <w:position w:val="1"/>
          <w:sz w:val="32"/>
          <w:szCs w:val="32"/>
        </w:rPr>
      </w:pPr>
      <w:r>
        <w:rPr>
          <w:rFonts w:hint="eastAsia" w:ascii="黑体" w:hAnsi="黑体" w:eastAsia="黑体" w:cs="仿宋"/>
          <w:snapToGrid w:val="0"/>
          <w:spacing w:val="-1"/>
          <w:position w:val="1"/>
          <w:sz w:val="32"/>
          <w:szCs w:val="32"/>
        </w:rPr>
        <w:t>其他</w:t>
      </w:r>
    </w:p>
    <w:p>
      <w:pPr>
        <w:autoSpaceDE w:val="0"/>
        <w:adjustRightInd w:val="0"/>
        <w:snapToGrid w:val="0"/>
        <w:spacing w:line="560" w:lineRule="exact"/>
        <w:ind w:firstLine="640" w:firstLineChars="200"/>
        <w:jc w:val="left"/>
        <w:textAlignment w:val="baseline"/>
        <w:outlineLvl w:val="0"/>
        <w:rPr>
          <w:rFonts w:ascii="仿宋_GB2312" w:hAnsi="仿宋" w:eastAsia="仿宋_GB2312" w:cs="仿宋"/>
          <w:snapToGrid w:val="0"/>
          <w:sz w:val="32"/>
          <w:szCs w:val="32"/>
        </w:rPr>
      </w:pPr>
      <w:r>
        <w:rPr>
          <w:rFonts w:hint="eastAsia" w:ascii="仿宋_GB2312" w:hAnsi="仿宋" w:eastAsia="仿宋_GB2312" w:cs="仿宋"/>
          <w:snapToGrid w:val="0"/>
          <w:sz w:val="32"/>
          <w:szCs w:val="32"/>
        </w:rPr>
        <w:t>1</w:t>
      </w:r>
      <w:r>
        <w:rPr>
          <w:rFonts w:ascii="仿宋_GB2312" w:hAnsi="仿宋" w:eastAsia="仿宋_GB2312" w:cs="仿宋"/>
          <w:snapToGrid w:val="0"/>
          <w:sz w:val="32"/>
          <w:szCs w:val="32"/>
        </w:rPr>
        <w:t>.</w:t>
      </w:r>
      <w:r>
        <w:rPr>
          <w:rFonts w:hint="eastAsia" w:ascii="仿宋_GB2312" w:hAnsi="仿宋" w:eastAsia="仿宋_GB2312" w:cs="仿宋"/>
          <w:snapToGrid w:val="0"/>
          <w:sz w:val="32"/>
          <w:szCs w:val="32"/>
        </w:rPr>
        <w:t>以上标准由工作组授权托管学院学办负责解释，并根据实际情况及时向评审小组反馈调整。</w:t>
      </w:r>
    </w:p>
    <w:p>
      <w:pPr>
        <w:autoSpaceDE w:val="0"/>
        <w:adjustRightInd w:val="0"/>
        <w:snapToGrid w:val="0"/>
        <w:spacing w:line="560" w:lineRule="exact"/>
        <w:ind w:firstLine="640" w:firstLineChars="200"/>
        <w:jc w:val="left"/>
        <w:textAlignment w:val="baseline"/>
        <w:outlineLvl w:val="0"/>
        <w:rPr>
          <w:rFonts w:ascii="仿宋_GB2312" w:hAnsi="仿宋" w:eastAsia="仿宋_GB2312" w:cs="仿宋"/>
          <w:snapToGrid w:val="0"/>
          <w:sz w:val="32"/>
          <w:szCs w:val="32"/>
        </w:rPr>
      </w:pPr>
      <w:r>
        <w:rPr>
          <w:rFonts w:ascii="仿宋_GB2312" w:hAnsi="仿宋" w:eastAsia="仿宋_GB2312" w:cs="仿宋"/>
          <w:snapToGrid w:val="0"/>
          <w:sz w:val="32"/>
          <w:szCs w:val="32"/>
        </w:rPr>
        <w:t>2.</w:t>
      </w:r>
      <w:r>
        <w:rPr>
          <w:rFonts w:hint="eastAsia" w:ascii="仿宋_GB2312" w:hAnsi="仿宋" w:eastAsia="仿宋_GB2312" w:cs="仿宋"/>
          <w:snapToGrid w:val="0"/>
          <w:sz w:val="32"/>
          <w:szCs w:val="32"/>
        </w:rPr>
        <w:t>计分标准未列举的特殊情况由工作组讨论决定。</w:t>
      </w:r>
    </w:p>
    <w:p>
      <w:pPr>
        <w:autoSpaceDE w:val="0"/>
        <w:adjustRightInd w:val="0"/>
        <w:snapToGrid w:val="0"/>
        <w:spacing w:line="560" w:lineRule="exact"/>
        <w:ind w:firstLine="640" w:firstLineChars="200"/>
        <w:jc w:val="left"/>
        <w:textAlignment w:val="baseline"/>
        <w:outlineLvl w:val="0"/>
        <w:rPr>
          <w:rFonts w:ascii="仿宋_GB2312" w:hAnsi="仿宋" w:eastAsia="仿宋_GB2312" w:cs="仿宋"/>
          <w:snapToGrid w:val="0"/>
          <w:sz w:val="32"/>
          <w:szCs w:val="32"/>
        </w:rPr>
      </w:pPr>
      <w:r>
        <w:rPr>
          <w:rFonts w:hint="eastAsia" w:ascii="仿宋_GB2312" w:hAnsi="仿宋" w:eastAsia="仿宋_GB2312" w:cs="仿宋"/>
          <w:snapToGrid w:val="0"/>
          <w:sz w:val="32"/>
          <w:szCs w:val="32"/>
        </w:rPr>
        <w:t>3</w:t>
      </w:r>
      <w:r>
        <w:rPr>
          <w:rFonts w:ascii="仿宋_GB2312" w:hAnsi="仿宋" w:eastAsia="仿宋_GB2312" w:cs="仿宋"/>
          <w:snapToGrid w:val="0"/>
          <w:sz w:val="32"/>
          <w:szCs w:val="32"/>
        </w:rPr>
        <w:t>.</w:t>
      </w:r>
      <w:r>
        <w:rPr>
          <w:rFonts w:hint="eastAsia" w:ascii="仿宋_GB2312" w:hAnsi="仿宋" w:eastAsia="仿宋_GB2312" w:cs="仿宋"/>
          <w:snapToGrid w:val="0"/>
          <w:sz w:val="32"/>
          <w:szCs w:val="32"/>
        </w:rPr>
        <w:t>若伪造证明骗取得分，一经发现，取消其所有后续评奖资格。</w:t>
      </w:r>
    </w:p>
    <w:p>
      <w:pPr>
        <w:widowControl/>
        <w:kinsoku w:val="0"/>
        <w:autoSpaceDE w:val="0"/>
        <w:autoSpaceDN w:val="0"/>
        <w:adjustRightInd w:val="0"/>
        <w:snapToGrid w:val="0"/>
        <w:jc w:val="left"/>
        <w:textAlignment w:val="baseline"/>
        <w:rPr>
          <w:rFonts w:ascii="Arial" w:hAnsi="Arial" w:eastAsia="Arial" w:cs="Arial"/>
          <w:snapToGrid w:val="0"/>
          <w:szCs w:val="21"/>
        </w:rPr>
        <w:sectPr>
          <w:pgSz w:w="11907" w:h="16839"/>
          <w:pgMar w:top="1440" w:right="1800" w:bottom="1440" w:left="1800" w:header="0" w:footer="0" w:gutter="0"/>
          <w:cols w:space="720" w:num="1"/>
        </w:sectPr>
      </w:pPr>
    </w:p>
    <w:p>
      <w:pPr>
        <w:autoSpaceDE w:val="0"/>
        <w:adjustRightInd w:val="0"/>
        <w:snapToGrid w:val="0"/>
        <w:spacing w:before="101" w:line="560" w:lineRule="exact"/>
        <w:jc w:val="center"/>
        <w:textAlignment w:val="baseline"/>
        <w:rPr>
          <w:rFonts w:hint="eastAsia" w:ascii="方正小标宋简体" w:hAnsi="黑体" w:eastAsia="方正小标宋简体" w:cs="黑体"/>
          <w:snapToGrid w:val="0"/>
          <w:spacing w:val="-1"/>
          <w:sz w:val="44"/>
          <w:szCs w:val="44"/>
        </w:rPr>
      </w:pPr>
      <w:r>
        <w:rPr>
          <w:rFonts w:hint="eastAsia" w:ascii="方正小标宋简体" w:hAnsi="黑体" w:eastAsia="方正小标宋简体" w:cs="黑体"/>
          <w:snapToGrid w:val="0"/>
          <w:spacing w:val="-1"/>
          <w:sz w:val="44"/>
          <w:szCs w:val="44"/>
        </w:rPr>
        <w:t>文科试验班社会</w:t>
      </w:r>
      <w:r>
        <w:rPr>
          <w:rFonts w:hint="eastAsia" w:ascii="方正小标宋简体" w:hAnsi="黑体" w:eastAsia="方正小标宋简体" w:cs="黑体"/>
          <w:snapToGrid w:val="0"/>
          <w:spacing w:val="-1"/>
          <w:sz w:val="44"/>
          <w:szCs w:val="44"/>
          <w:lang w:val="en-US" w:eastAsia="zh-CN"/>
        </w:rPr>
        <w:t>活动及</w:t>
      </w:r>
      <w:r>
        <w:rPr>
          <w:rFonts w:hint="eastAsia" w:ascii="方正小标宋简体" w:hAnsi="黑体" w:eastAsia="方正小标宋简体" w:cs="黑体"/>
          <w:snapToGrid w:val="0"/>
          <w:spacing w:val="-1"/>
          <w:sz w:val="44"/>
          <w:szCs w:val="44"/>
        </w:rPr>
        <w:t>学生工作类</w:t>
      </w:r>
      <w:r>
        <w:rPr>
          <w:rFonts w:hint="eastAsia" w:ascii="方正小标宋简体" w:hAnsi="黑体" w:eastAsia="方正小标宋简体" w:cs="黑体"/>
          <w:snapToGrid w:val="0"/>
          <w:spacing w:val="-1"/>
          <w:sz w:val="44"/>
          <w:szCs w:val="44"/>
        </w:rPr>
        <w:t>积分计分表</w:t>
      </w:r>
    </w:p>
    <w:p>
      <w:pPr>
        <w:widowControl w:val="0"/>
        <w:numPr>
          <w:ilvl w:val="0"/>
          <w:numId w:val="2"/>
        </w:numPr>
        <w:kinsoku/>
        <w:autoSpaceDN/>
        <w:spacing w:before="30" w:line="560" w:lineRule="exact"/>
        <w:ind w:left="9"/>
        <w:outlineLvl w:val="6"/>
        <w:rPr>
          <w:rFonts w:ascii="宋体" w:hAnsi="宋体" w:eastAsia="宋体" w:cs="宋体"/>
          <w:color w:val="auto"/>
          <w:sz w:val="24"/>
          <w:szCs w:val="24"/>
        </w:rPr>
      </w:pPr>
      <w:r>
        <w:rPr>
          <w:rFonts w:ascii="宋体" w:hAnsi="宋体" w:eastAsia="宋体" w:cs="宋体"/>
          <w:color w:val="auto"/>
          <w:spacing w:val="-1"/>
          <w:sz w:val="24"/>
          <w:szCs w:val="24"/>
        </w:rPr>
        <w:t>社会活动及获</w:t>
      </w:r>
      <w:r>
        <w:rPr>
          <w:rFonts w:ascii="宋体" w:hAnsi="宋体" w:eastAsia="宋体" w:cs="宋体"/>
          <w:color w:val="auto"/>
          <w:sz w:val="24"/>
          <w:szCs w:val="24"/>
        </w:rPr>
        <w:t>得荣誉</w:t>
      </w:r>
      <w:r>
        <w:rPr>
          <w:rFonts w:hint="eastAsia" w:ascii="宋体" w:hAnsi="宋体" w:eastAsia="宋体" w:cs="宋体"/>
          <w:color w:val="auto"/>
          <w:sz w:val="24"/>
          <w:szCs w:val="24"/>
          <w:lang w:val="en-US" w:eastAsia="zh-CN"/>
        </w:rPr>
        <w:t>与奖励</w:t>
      </w:r>
      <w:r>
        <w:rPr>
          <w:rFonts w:ascii="宋体" w:hAnsi="宋体" w:eastAsia="宋体" w:cs="宋体"/>
          <w:color w:val="auto"/>
          <w:sz w:val="24"/>
          <w:szCs w:val="24"/>
        </w:rPr>
        <w:t>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60</w:t>
      </w:r>
      <w:r>
        <w:rPr>
          <w:rFonts w:hint="eastAsia" w:ascii="仿宋" w:hAnsi="仿宋" w:eastAsia="仿宋" w:cs="仿宋"/>
          <w:bCs/>
          <w:color w:val="FF0000"/>
        </w:rPr>
        <w:t>分）</w:t>
      </w:r>
    </w:p>
    <w:p>
      <w:pPr>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textAlignment w:val="baseline"/>
        <w:outlineLvl w:val="6"/>
        <w:rPr>
          <w:rFonts w:ascii="宋体" w:hAnsi="宋体" w:eastAsia="宋体" w:cs="宋体"/>
          <w:color w:val="auto"/>
          <w:sz w:val="24"/>
          <w:szCs w:val="24"/>
        </w:rPr>
      </w:pPr>
      <w:r>
        <w:rPr>
          <w:rFonts w:hint="eastAsia" w:ascii="宋体" w:hAnsi="宋体" w:eastAsia="宋体" w:cs="宋体"/>
          <w:color w:val="auto"/>
          <w:sz w:val="24"/>
          <w:szCs w:val="24"/>
        </w:rPr>
        <w:t>参与社会活动</w:t>
      </w:r>
      <w:r>
        <w:rPr>
          <w:rFonts w:hint="eastAsia" w:ascii="宋体" w:hAnsi="宋体" w:eastAsia="宋体" w:cs="宋体"/>
          <w:color w:val="auto"/>
          <w:sz w:val="24"/>
          <w:szCs w:val="24"/>
          <w:lang w:val="en-US" w:eastAsia="zh-CN"/>
        </w:rPr>
        <w:t>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8</w:t>
      </w:r>
      <w:r>
        <w:rPr>
          <w:rFonts w:hint="eastAsia" w:ascii="仿宋" w:hAnsi="仿宋" w:eastAsia="仿宋" w:cs="仿宋"/>
          <w:bCs/>
          <w:color w:val="FF0000"/>
        </w:rPr>
        <w:t>分）</w:t>
      </w:r>
    </w:p>
    <w:tbl>
      <w:tblPr>
        <w:tblStyle w:val="18"/>
        <w:tblW w:w="5014" w:type="pct"/>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945"/>
        <w:gridCol w:w="1929"/>
        <w:gridCol w:w="1382"/>
        <w:gridCol w:w="1703"/>
        <w:gridCol w:w="1873"/>
        <w:gridCol w:w="561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53" w:type="pct"/>
            <w:vMerge w:val="restart"/>
            <w:vAlign w:val="center"/>
          </w:tcPr>
          <w:p>
            <w:pPr>
              <w:widowControl w:val="0"/>
              <w:kinsoku/>
              <w:autoSpaceDN/>
              <w:jc w:val="center"/>
              <w:rPr>
                <w:rFonts w:ascii="楷体" w:hAnsi="楷体" w:eastAsia="楷体" w:cs="楷体"/>
                <w:color w:val="auto"/>
              </w:rPr>
            </w:pPr>
            <w:r>
              <w:rPr>
                <w:rFonts w:hint="eastAsia" w:ascii="楷体" w:hAnsi="楷体" w:eastAsia="楷体" w:cs="楷体"/>
                <w:color w:val="auto"/>
              </w:rPr>
              <w:t>类别</w:t>
            </w:r>
          </w:p>
        </w:tc>
        <w:tc>
          <w:tcPr>
            <w:tcW w:w="624" w:type="pct"/>
            <w:vMerge w:val="restart"/>
            <w:tcBorders>
              <w:bottom w:val="nil"/>
            </w:tcBorders>
            <w:vAlign w:val="center"/>
          </w:tcPr>
          <w:p>
            <w:pPr>
              <w:widowControl w:val="0"/>
              <w:kinsoku/>
              <w:autoSpaceDN/>
              <w:spacing w:before="34"/>
              <w:jc w:val="center"/>
              <w:rPr>
                <w:rFonts w:ascii="楷体" w:hAnsi="楷体" w:eastAsia="楷体" w:cs="楷体"/>
                <w:color w:val="auto"/>
              </w:rPr>
            </w:pPr>
            <w:r>
              <w:rPr>
                <w:rFonts w:hint="eastAsia" w:ascii="楷体" w:hAnsi="楷体" w:eastAsia="楷体" w:cs="楷体"/>
                <w:color w:val="auto"/>
                <w:spacing w:val="-2"/>
              </w:rPr>
              <w:t>单人参与</w:t>
            </w:r>
          </w:p>
        </w:tc>
        <w:tc>
          <w:tcPr>
            <w:tcW w:w="1604" w:type="pct"/>
            <w:gridSpan w:val="3"/>
            <w:vAlign w:val="center"/>
          </w:tcPr>
          <w:p>
            <w:pPr>
              <w:widowControl w:val="0"/>
              <w:kinsoku/>
              <w:autoSpaceDN/>
              <w:spacing w:before="29"/>
              <w:ind w:left="1469"/>
              <w:jc w:val="both"/>
              <w:rPr>
                <w:rFonts w:ascii="楷体" w:hAnsi="楷体" w:eastAsia="楷体" w:cs="楷体"/>
                <w:color w:val="auto"/>
              </w:rPr>
            </w:pPr>
            <w:r>
              <w:rPr>
                <w:rFonts w:hint="eastAsia" w:ascii="楷体" w:hAnsi="楷体" w:eastAsia="楷体" w:cs="楷体"/>
                <w:color w:val="auto"/>
                <w:spacing w:val="-1"/>
              </w:rPr>
              <w:t>集体参</w:t>
            </w:r>
            <w:r>
              <w:rPr>
                <w:rFonts w:hint="eastAsia" w:ascii="楷体" w:hAnsi="楷体" w:eastAsia="楷体" w:cs="楷体"/>
                <w:color w:val="auto"/>
              </w:rPr>
              <w:t>与</w:t>
            </w:r>
          </w:p>
        </w:tc>
        <w:tc>
          <w:tcPr>
            <w:tcW w:w="1818" w:type="pct"/>
            <w:vMerge w:val="restart"/>
            <w:vAlign w:val="center"/>
          </w:tcPr>
          <w:p>
            <w:pPr>
              <w:widowControl w:val="0"/>
              <w:kinsoku/>
              <w:autoSpaceDN/>
              <w:jc w:val="center"/>
              <w:rPr>
                <w:rFonts w:ascii="楷体" w:hAnsi="楷体" w:eastAsia="楷体" w:cs="楷体"/>
                <w:color w:val="auto"/>
              </w:rPr>
            </w:pPr>
            <w:r>
              <w:rPr>
                <w:rFonts w:hint="eastAsia" w:ascii="楷体" w:hAnsi="楷体" w:eastAsia="楷体" w:cs="楷体"/>
                <w:color w:val="auto"/>
              </w:rPr>
              <w:t>说明</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953" w:type="pct"/>
            <w:vMerge w:val="continue"/>
            <w:tcBorders>
              <w:top w:val="nil"/>
            </w:tcBorders>
            <w:vAlign w:val="center"/>
          </w:tcPr>
          <w:p>
            <w:pPr>
              <w:widowControl w:val="0"/>
              <w:kinsoku/>
              <w:autoSpaceDN/>
              <w:jc w:val="center"/>
              <w:rPr>
                <w:rFonts w:ascii="楷体" w:hAnsi="楷体" w:eastAsia="楷体" w:cs="楷体"/>
                <w:color w:val="auto"/>
              </w:rPr>
            </w:pPr>
          </w:p>
        </w:tc>
        <w:tc>
          <w:tcPr>
            <w:tcW w:w="624" w:type="pct"/>
            <w:vMerge w:val="continue"/>
            <w:tcBorders>
              <w:top w:val="nil"/>
            </w:tcBorders>
            <w:vAlign w:val="center"/>
          </w:tcPr>
          <w:p>
            <w:pPr>
              <w:widowControl w:val="0"/>
              <w:kinsoku/>
              <w:autoSpaceDN/>
              <w:jc w:val="center"/>
              <w:rPr>
                <w:rFonts w:ascii="楷体" w:hAnsi="楷体" w:eastAsia="楷体" w:cs="楷体"/>
                <w:color w:val="auto"/>
              </w:rPr>
            </w:pPr>
          </w:p>
        </w:tc>
        <w:tc>
          <w:tcPr>
            <w:tcW w:w="447" w:type="pct"/>
            <w:vAlign w:val="center"/>
          </w:tcPr>
          <w:p>
            <w:pPr>
              <w:widowControl w:val="0"/>
              <w:kinsoku/>
              <w:autoSpaceDN/>
              <w:spacing w:before="28"/>
              <w:ind w:left="236" w:firstLine="204" w:firstLineChars="100"/>
              <w:jc w:val="both"/>
              <w:rPr>
                <w:rFonts w:ascii="楷体" w:hAnsi="楷体" w:eastAsia="楷体" w:cs="楷体"/>
                <w:color w:val="auto"/>
              </w:rPr>
            </w:pPr>
            <w:r>
              <w:rPr>
                <w:rFonts w:hint="eastAsia" w:ascii="楷体" w:hAnsi="楷体" w:eastAsia="楷体" w:cs="楷体"/>
                <w:color w:val="auto"/>
                <w:spacing w:val="-3"/>
              </w:rPr>
              <w:t>负责人</w:t>
            </w:r>
          </w:p>
        </w:tc>
        <w:tc>
          <w:tcPr>
            <w:tcW w:w="551" w:type="pct"/>
            <w:vAlign w:val="center"/>
          </w:tcPr>
          <w:p>
            <w:pPr>
              <w:widowControl w:val="0"/>
              <w:kinsoku/>
              <w:autoSpaceDN/>
              <w:spacing w:before="28"/>
              <w:ind w:left="154"/>
              <w:jc w:val="center"/>
              <w:rPr>
                <w:rFonts w:ascii="楷体" w:hAnsi="楷体" w:eastAsia="楷体" w:cs="楷体"/>
                <w:color w:val="auto"/>
              </w:rPr>
            </w:pPr>
            <w:r>
              <w:rPr>
                <w:rFonts w:hint="eastAsia" w:ascii="楷体" w:hAnsi="楷体" w:eastAsia="楷体" w:cs="楷体"/>
                <w:color w:val="auto"/>
                <w:spacing w:val="-1"/>
              </w:rPr>
              <w:t>主要参与</w:t>
            </w:r>
            <w:r>
              <w:rPr>
                <w:rFonts w:hint="eastAsia" w:ascii="楷体" w:hAnsi="楷体" w:eastAsia="楷体" w:cs="楷体"/>
                <w:color w:val="auto"/>
              </w:rPr>
              <w:t>人</w:t>
            </w:r>
          </w:p>
        </w:tc>
        <w:tc>
          <w:tcPr>
            <w:tcW w:w="606" w:type="pct"/>
            <w:vAlign w:val="center"/>
          </w:tcPr>
          <w:p>
            <w:pPr>
              <w:widowControl w:val="0"/>
              <w:kinsoku/>
              <w:autoSpaceDN/>
              <w:spacing w:before="28"/>
              <w:ind w:left="151"/>
              <w:jc w:val="center"/>
              <w:rPr>
                <w:rFonts w:ascii="楷体" w:hAnsi="楷体" w:eastAsia="楷体" w:cs="楷体"/>
                <w:color w:val="auto"/>
              </w:rPr>
            </w:pPr>
            <w:r>
              <w:rPr>
                <w:rFonts w:hint="eastAsia" w:ascii="楷体" w:hAnsi="楷体" w:eastAsia="楷体" w:cs="楷体"/>
                <w:color w:val="auto"/>
                <w:spacing w:val="-1"/>
              </w:rPr>
              <w:t>其他参</w:t>
            </w:r>
            <w:r>
              <w:rPr>
                <w:rFonts w:hint="eastAsia" w:ascii="楷体" w:hAnsi="楷体" w:eastAsia="楷体" w:cs="楷体"/>
                <w:color w:val="auto"/>
              </w:rPr>
              <w:t>与人</w:t>
            </w:r>
          </w:p>
        </w:tc>
        <w:tc>
          <w:tcPr>
            <w:tcW w:w="1818" w:type="pct"/>
            <w:vMerge w:val="continue"/>
            <w:tcBorders>
              <w:top w:val="nil"/>
            </w:tcBorders>
            <w:vAlign w:val="center"/>
          </w:tcPr>
          <w:p>
            <w:pPr>
              <w:widowControl w:val="0"/>
              <w:kinsoku/>
              <w:autoSpaceDN/>
              <w:jc w:val="center"/>
              <w:rPr>
                <w:rFonts w:ascii="楷体" w:hAnsi="楷体" w:eastAsia="楷体" w:cs="楷体"/>
                <w:color w:val="auto"/>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42" w:hRule="atLeast"/>
          <w:jc w:val="center"/>
        </w:trPr>
        <w:tc>
          <w:tcPr>
            <w:tcW w:w="953" w:type="pct"/>
            <w:vAlign w:val="center"/>
          </w:tcPr>
          <w:p>
            <w:pPr>
              <w:widowControl w:val="0"/>
              <w:kinsoku/>
              <w:autoSpaceDN/>
              <w:spacing w:before="30"/>
              <w:jc w:val="center"/>
              <w:rPr>
                <w:rFonts w:ascii="楷体" w:hAnsi="楷体" w:eastAsia="楷体" w:cs="楷体"/>
                <w:color w:val="auto"/>
              </w:rPr>
            </w:pPr>
            <w:r>
              <w:rPr>
                <w:rFonts w:hint="eastAsia" w:ascii="楷体" w:hAnsi="楷体" w:eastAsia="楷体" w:cs="楷体"/>
                <w:color w:val="auto"/>
                <w:spacing w:val="-1"/>
              </w:rPr>
              <w:t>校级、学院活</w:t>
            </w:r>
            <w:r>
              <w:rPr>
                <w:rFonts w:hint="eastAsia" w:ascii="楷体" w:hAnsi="楷体" w:eastAsia="楷体" w:cs="楷体"/>
                <w:color w:val="auto"/>
              </w:rPr>
              <w:t>动</w:t>
            </w:r>
          </w:p>
        </w:tc>
        <w:tc>
          <w:tcPr>
            <w:tcW w:w="624" w:type="pct"/>
            <w:vAlign w:val="center"/>
          </w:tcPr>
          <w:p>
            <w:pPr>
              <w:widowControl w:val="0"/>
              <w:kinsoku/>
              <w:autoSpaceDN/>
              <w:spacing w:before="68"/>
              <w:jc w:val="center"/>
              <w:rPr>
                <w:rFonts w:hint="default" w:ascii="楷体" w:hAnsi="楷体" w:eastAsia="楷体" w:cs="楷体"/>
                <w:color w:val="auto"/>
                <w:lang w:val="en-US" w:eastAsia="zh-CN"/>
              </w:rPr>
            </w:pPr>
            <w:r>
              <w:rPr>
                <w:rFonts w:hint="eastAsia" w:ascii="楷体" w:hAnsi="楷体" w:eastAsia="楷体" w:cs="楷体"/>
                <w:color w:val="auto"/>
                <w:spacing w:val="-2"/>
                <w:lang w:val="en-US" w:eastAsia="zh-CN"/>
              </w:rPr>
              <w:t>0.8</w:t>
            </w:r>
          </w:p>
        </w:tc>
        <w:tc>
          <w:tcPr>
            <w:tcW w:w="447" w:type="pct"/>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lang w:val="en-US" w:eastAsia="zh-CN"/>
              </w:rPr>
              <w:t>0.8</w:t>
            </w:r>
          </w:p>
        </w:tc>
        <w:tc>
          <w:tcPr>
            <w:tcW w:w="551" w:type="pct"/>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lang w:val="en-US" w:eastAsia="zh-CN"/>
              </w:rPr>
              <w:t>0.8</w:t>
            </w:r>
          </w:p>
        </w:tc>
        <w:tc>
          <w:tcPr>
            <w:tcW w:w="606" w:type="pct"/>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lang w:val="en-US" w:eastAsia="zh-CN"/>
              </w:rPr>
              <w:t>0.8</w:t>
            </w:r>
          </w:p>
        </w:tc>
        <w:tc>
          <w:tcPr>
            <w:tcW w:w="1818" w:type="pct"/>
            <w:vAlign w:val="center"/>
          </w:tcPr>
          <w:p>
            <w:pPr>
              <w:widowControl w:val="0"/>
              <w:numPr>
                <w:ilvl w:val="0"/>
                <w:numId w:val="4"/>
              </w:numPr>
              <w:kinsoku/>
              <w:autoSpaceDN/>
              <w:jc w:val="both"/>
              <w:rPr>
                <w:rFonts w:ascii="楷体" w:hAnsi="楷体" w:eastAsia="楷体" w:cs="楷体"/>
                <w:color w:val="auto"/>
              </w:rPr>
            </w:pPr>
            <w:r>
              <w:rPr>
                <w:rFonts w:hint="eastAsia" w:ascii="楷体" w:hAnsi="楷体" w:eastAsia="楷体" w:cs="楷体"/>
                <w:color w:val="auto"/>
                <w:spacing w:val="2"/>
              </w:rPr>
              <w:t>校级、学院活动指校团委、学工</w:t>
            </w:r>
            <w:r>
              <w:rPr>
                <w:rFonts w:hint="eastAsia" w:ascii="楷体" w:hAnsi="楷体" w:eastAsia="楷体" w:cs="楷体"/>
                <w:color w:val="auto"/>
                <w:spacing w:val="1"/>
              </w:rPr>
              <w:t>部、研工部等校级部门、人文学院、党团支部正式举办的主题活动、文体活动等；</w:t>
            </w:r>
          </w:p>
          <w:p>
            <w:pPr>
              <w:widowControl w:val="0"/>
              <w:numPr>
                <w:ilvl w:val="0"/>
                <w:numId w:val="4"/>
              </w:numPr>
              <w:kinsoku/>
              <w:autoSpaceDN/>
              <w:jc w:val="both"/>
              <w:rPr>
                <w:rFonts w:ascii="楷体" w:hAnsi="楷体" w:eastAsia="楷体" w:cs="楷体"/>
                <w:color w:val="auto"/>
              </w:rPr>
            </w:pPr>
            <w:r>
              <w:rPr>
                <w:rFonts w:hint="eastAsia" w:ascii="楷体" w:hAnsi="楷体" w:eastAsia="楷体" w:cs="楷体"/>
                <w:color w:val="auto"/>
                <w:spacing w:val="1"/>
              </w:rPr>
              <w:t>参加活动积分一个长学期不</w:t>
            </w:r>
            <w:r>
              <w:rPr>
                <w:rFonts w:hint="eastAsia" w:ascii="楷体" w:hAnsi="楷体" w:eastAsia="楷体" w:cs="楷体"/>
                <w:color w:val="auto"/>
                <w:spacing w:val="-12"/>
              </w:rPr>
              <w:t>超过</w:t>
            </w:r>
            <w:r>
              <w:rPr>
                <w:rFonts w:hint="eastAsia" w:ascii="楷体" w:hAnsi="楷体" w:eastAsia="楷体" w:cs="楷体"/>
                <w:color w:val="auto"/>
                <w:spacing w:val="-12"/>
                <w:lang w:val="en-US" w:eastAsia="zh-CN"/>
              </w:rPr>
              <w:t>4</w:t>
            </w:r>
            <w:r>
              <w:rPr>
                <w:rFonts w:hint="eastAsia" w:ascii="楷体" w:hAnsi="楷体" w:eastAsia="楷体" w:cs="楷体"/>
                <w:color w:val="auto"/>
                <w:spacing w:val="-12"/>
              </w:rPr>
              <w:t>分，一年不超过</w:t>
            </w:r>
            <w:r>
              <w:rPr>
                <w:rFonts w:hint="eastAsia" w:ascii="楷体" w:hAnsi="楷体" w:eastAsia="楷体" w:cs="楷体"/>
                <w:color w:val="auto"/>
                <w:spacing w:val="-12"/>
                <w:lang w:val="en-US" w:eastAsia="zh-CN"/>
              </w:rPr>
              <w:t>8</w:t>
            </w:r>
            <w:r>
              <w:rPr>
                <w:rFonts w:hint="eastAsia" w:ascii="楷体" w:hAnsi="楷体" w:eastAsia="楷体" w:cs="楷体"/>
                <w:color w:val="auto"/>
                <w:spacing w:val="-12"/>
              </w:rPr>
              <w:t>分</w:t>
            </w:r>
            <w:r>
              <w:rPr>
                <w:rFonts w:hint="eastAsia" w:ascii="楷体" w:hAnsi="楷体" w:eastAsia="楷体" w:cs="楷体"/>
                <w:color w:val="auto"/>
                <w:spacing w:val="-11"/>
              </w:rPr>
              <w:t>。</w:t>
            </w:r>
          </w:p>
        </w:tc>
      </w:tr>
    </w:tbl>
    <w:p>
      <w:pPr>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textAlignment w:val="baseline"/>
        <w:outlineLvl w:val="6"/>
        <w:rPr>
          <w:rFonts w:hint="eastAsia" w:ascii="宋体" w:hAnsi="宋体" w:eastAsia="宋体" w:cs="宋体"/>
          <w:color w:val="auto"/>
          <w:sz w:val="24"/>
          <w:szCs w:val="24"/>
        </w:rPr>
      </w:pPr>
      <w:r>
        <w:rPr>
          <w:rFonts w:hint="eastAsia" w:ascii="宋体" w:hAnsi="宋体" w:eastAsia="宋体" w:cs="宋体"/>
          <w:color w:val="auto"/>
          <w:sz w:val="24"/>
          <w:szCs w:val="24"/>
        </w:rPr>
        <w:t>参与志愿服务计分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12</w:t>
      </w:r>
      <w:r>
        <w:rPr>
          <w:rFonts w:hint="eastAsia" w:ascii="仿宋" w:hAnsi="仿宋" w:eastAsia="仿宋" w:cs="仿宋"/>
          <w:bCs/>
          <w:color w:val="FF0000"/>
        </w:rPr>
        <w:t>分）</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36"/>
        <w:gridCol w:w="3127"/>
        <w:gridCol w:w="93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953" w:type="pct"/>
            <w:vMerge w:val="restart"/>
            <w:tcBorders>
              <w:bottom w:val="nil"/>
            </w:tcBorders>
            <w:vAlign w:val="center"/>
          </w:tcPr>
          <w:p>
            <w:pPr>
              <w:widowControl w:val="0"/>
              <w:kinsoku/>
              <w:autoSpaceDN/>
              <w:spacing w:before="68"/>
              <w:jc w:val="center"/>
              <w:rPr>
                <w:rFonts w:ascii="楷体" w:hAnsi="楷体" w:eastAsia="楷体" w:cs="楷体"/>
                <w:color w:val="auto"/>
              </w:rPr>
            </w:pPr>
            <w:r>
              <w:rPr>
                <w:rFonts w:hint="eastAsia" w:ascii="楷体" w:hAnsi="楷体" w:eastAsia="楷体" w:cs="楷体"/>
                <w:color w:val="auto"/>
                <w:spacing w:val="-2"/>
              </w:rPr>
              <w:t>类</w:t>
            </w:r>
            <w:r>
              <w:rPr>
                <w:rFonts w:hint="eastAsia" w:ascii="楷体" w:hAnsi="楷体" w:eastAsia="楷体" w:cs="楷体"/>
                <w:color w:val="auto"/>
                <w:spacing w:val="-1"/>
              </w:rPr>
              <w:t>别</w:t>
            </w:r>
          </w:p>
        </w:tc>
        <w:tc>
          <w:tcPr>
            <w:tcW w:w="1015" w:type="pct"/>
            <w:vMerge w:val="restart"/>
            <w:tcBorders>
              <w:bottom w:val="nil"/>
            </w:tcBorders>
            <w:vAlign w:val="center"/>
          </w:tcPr>
          <w:p>
            <w:pPr>
              <w:widowControl w:val="0"/>
              <w:kinsoku/>
              <w:autoSpaceDN/>
              <w:spacing w:before="68"/>
              <w:ind w:left="211"/>
              <w:jc w:val="center"/>
              <w:rPr>
                <w:rFonts w:ascii="楷体" w:hAnsi="楷体" w:eastAsia="楷体" w:cs="楷体"/>
                <w:color w:val="auto"/>
              </w:rPr>
            </w:pPr>
            <w:r>
              <w:rPr>
                <w:rFonts w:hint="eastAsia" w:ascii="楷体" w:hAnsi="楷体" w:eastAsia="楷体" w:cs="楷体"/>
                <w:color w:val="auto"/>
                <w:spacing w:val="-1"/>
              </w:rPr>
              <w:t>第二课堂志愿服务时长</w:t>
            </w:r>
          </w:p>
        </w:tc>
        <w:tc>
          <w:tcPr>
            <w:tcW w:w="3031" w:type="pct"/>
            <w:vMerge w:val="restart"/>
            <w:tcBorders>
              <w:bottom w:val="nil"/>
            </w:tcBorders>
            <w:vAlign w:val="center"/>
          </w:tcPr>
          <w:p>
            <w:pPr>
              <w:widowControl w:val="0"/>
              <w:kinsoku/>
              <w:autoSpaceDN/>
              <w:spacing w:before="68"/>
              <w:ind w:left="297"/>
              <w:jc w:val="center"/>
              <w:rPr>
                <w:rFonts w:ascii="楷体" w:hAnsi="楷体" w:eastAsia="楷体" w:cs="楷体"/>
                <w:color w:val="auto"/>
              </w:rPr>
            </w:pPr>
            <w:r>
              <w:rPr>
                <w:rFonts w:hint="eastAsia" w:ascii="楷体" w:hAnsi="楷体" w:eastAsia="楷体" w:cs="楷体"/>
                <w:color w:val="auto"/>
                <w:spacing w:val="-2"/>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953" w:type="pct"/>
            <w:vMerge w:val="continue"/>
            <w:tcBorders>
              <w:top w:val="nil"/>
              <w:bottom w:val="nil"/>
            </w:tcBorders>
            <w:vAlign w:val="center"/>
          </w:tcPr>
          <w:p>
            <w:pPr>
              <w:widowControl w:val="0"/>
              <w:kinsoku/>
              <w:autoSpaceDN/>
              <w:jc w:val="center"/>
              <w:rPr>
                <w:rFonts w:ascii="楷体" w:hAnsi="楷体" w:eastAsia="楷体" w:cs="楷体"/>
                <w:color w:val="auto"/>
              </w:rPr>
            </w:pPr>
          </w:p>
        </w:tc>
        <w:tc>
          <w:tcPr>
            <w:tcW w:w="1015" w:type="pct"/>
            <w:vMerge w:val="continue"/>
            <w:tcBorders>
              <w:top w:val="nil"/>
              <w:bottom w:val="nil"/>
            </w:tcBorders>
            <w:vAlign w:val="center"/>
          </w:tcPr>
          <w:p>
            <w:pPr>
              <w:widowControl w:val="0"/>
              <w:kinsoku/>
              <w:autoSpaceDN/>
              <w:jc w:val="center"/>
              <w:rPr>
                <w:rFonts w:ascii="楷体" w:hAnsi="楷体" w:eastAsia="楷体" w:cs="楷体"/>
                <w:color w:val="auto"/>
              </w:rPr>
            </w:pPr>
          </w:p>
        </w:tc>
        <w:tc>
          <w:tcPr>
            <w:tcW w:w="3031" w:type="pct"/>
            <w:vMerge w:val="continue"/>
            <w:tcBorders>
              <w:top w:val="nil"/>
              <w:bottom w:val="nil"/>
            </w:tcBorders>
            <w:vAlign w:val="center"/>
          </w:tcPr>
          <w:p>
            <w:pPr>
              <w:widowControl w:val="0"/>
              <w:kinsoku/>
              <w:autoSpaceDN/>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953" w:type="pct"/>
            <w:vMerge w:val="continue"/>
            <w:tcBorders>
              <w:top w:val="nil"/>
            </w:tcBorders>
            <w:vAlign w:val="center"/>
          </w:tcPr>
          <w:p>
            <w:pPr>
              <w:widowControl w:val="0"/>
              <w:kinsoku/>
              <w:autoSpaceDN/>
              <w:jc w:val="center"/>
              <w:rPr>
                <w:rFonts w:ascii="楷体" w:hAnsi="楷体" w:eastAsia="楷体" w:cs="楷体"/>
                <w:color w:val="auto"/>
              </w:rPr>
            </w:pPr>
          </w:p>
        </w:tc>
        <w:tc>
          <w:tcPr>
            <w:tcW w:w="1015" w:type="pct"/>
            <w:vMerge w:val="continue"/>
            <w:tcBorders>
              <w:top w:val="nil"/>
            </w:tcBorders>
            <w:vAlign w:val="center"/>
          </w:tcPr>
          <w:p>
            <w:pPr>
              <w:widowControl w:val="0"/>
              <w:kinsoku/>
              <w:autoSpaceDN/>
              <w:jc w:val="center"/>
              <w:rPr>
                <w:rFonts w:ascii="楷体" w:hAnsi="楷体" w:eastAsia="楷体" w:cs="楷体"/>
                <w:color w:val="auto"/>
              </w:rPr>
            </w:pPr>
          </w:p>
        </w:tc>
        <w:tc>
          <w:tcPr>
            <w:tcW w:w="3031" w:type="pct"/>
            <w:vMerge w:val="continue"/>
            <w:tcBorders>
              <w:top w:val="nil"/>
            </w:tcBorders>
            <w:vAlign w:val="center"/>
          </w:tcPr>
          <w:p>
            <w:pPr>
              <w:widowControl w:val="0"/>
              <w:kinsoku/>
              <w:autoSpaceDN/>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953" w:type="pct"/>
            <w:vAlign w:val="center"/>
          </w:tcPr>
          <w:p>
            <w:pPr>
              <w:widowControl w:val="0"/>
              <w:kinsoku/>
              <w:autoSpaceDN/>
              <w:spacing w:before="32"/>
              <w:jc w:val="center"/>
              <w:rPr>
                <w:rFonts w:ascii="楷体" w:hAnsi="楷体" w:eastAsia="楷体" w:cs="楷体"/>
                <w:color w:val="auto"/>
              </w:rPr>
            </w:pPr>
            <w:r>
              <w:rPr>
                <w:rFonts w:hint="eastAsia" w:ascii="楷体" w:hAnsi="楷体" w:eastAsia="楷体" w:cs="楷体"/>
                <w:color w:val="auto"/>
                <w:spacing w:val="-4"/>
              </w:rPr>
              <w:t>5小时 (含)以内</w:t>
            </w:r>
          </w:p>
        </w:tc>
        <w:tc>
          <w:tcPr>
            <w:tcW w:w="1015" w:type="pct"/>
            <w:vAlign w:val="center"/>
          </w:tcPr>
          <w:p>
            <w:pPr>
              <w:widowControl w:val="0"/>
              <w:kinsoku/>
              <w:autoSpaceDN/>
              <w:jc w:val="center"/>
              <w:rPr>
                <w:rFonts w:hint="eastAsia" w:ascii="楷体" w:hAnsi="楷体" w:eastAsia="楷体" w:cs="楷体"/>
                <w:color w:val="auto"/>
                <w:lang w:eastAsia="zh-CN"/>
              </w:rPr>
            </w:pPr>
            <w:r>
              <w:rPr>
                <w:rFonts w:hint="eastAsia" w:ascii="楷体" w:hAnsi="楷体" w:eastAsia="楷体" w:cs="楷体"/>
                <w:color w:val="auto"/>
                <w:spacing w:val="-4"/>
                <w:lang w:val="en-US" w:eastAsia="zh-CN"/>
              </w:rPr>
              <w:t>2</w:t>
            </w:r>
          </w:p>
        </w:tc>
        <w:tc>
          <w:tcPr>
            <w:tcW w:w="3031" w:type="pct"/>
            <w:vMerge w:val="restart"/>
            <w:vAlign w:val="center"/>
          </w:tcPr>
          <w:p>
            <w:pPr>
              <w:widowControl w:val="0"/>
              <w:kinsoku/>
              <w:autoSpaceDN/>
              <w:spacing w:before="70"/>
              <w:jc w:val="center"/>
              <w:rPr>
                <w:rFonts w:ascii="楷体" w:hAnsi="楷体" w:eastAsia="楷体" w:cs="楷体"/>
                <w:color w:val="auto"/>
              </w:rPr>
            </w:pPr>
            <w:r>
              <w:rPr>
                <w:rFonts w:hint="eastAsia" w:ascii="楷体" w:hAnsi="楷体" w:eastAsia="楷体" w:cs="楷体"/>
                <w:color w:val="auto"/>
                <w:spacing w:val="-8"/>
              </w:rPr>
              <w:t>志愿服务积分一个长学期不超过</w:t>
            </w:r>
            <w:r>
              <w:rPr>
                <w:rFonts w:hint="eastAsia" w:ascii="楷体" w:hAnsi="楷体" w:eastAsia="楷体" w:cs="楷体"/>
                <w:color w:val="auto"/>
                <w:spacing w:val="-8"/>
                <w:lang w:val="en-US" w:eastAsia="zh-CN"/>
              </w:rPr>
              <w:t>8</w:t>
            </w:r>
            <w:r>
              <w:rPr>
                <w:rFonts w:hint="eastAsia" w:ascii="楷体" w:hAnsi="楷体" w:eastAsia="楷体" w:cs="楷体"/>
                <w:color w:val="auto"/>
                <w:spacing w:val="-8"/>
              </w:rPr>
              <w:t>分，一年不</w:t>
            </w:r>
            <w:r>
              <w:rPr>
                <w:rFonts w:hint="eastAsia" w:ascii="楷体" w:hAnsi="楷体" w:eastAsia="楷体" w:cs="楷体"/>
                <w:color w:val="auto"/>
                <w:spacing w:val="-10"/>
              </w:rPr>
              <w:t>超</w:t>
            </w:r>
            <w:r>
              <w:rPr>
                <w:rFonts w:hint="eastAsia" w:ascii="楷体" w:hAnsi="楷体" w:eastAsia="楷体" w:cs="楷体"/>
                <w:color w:val="auto"/>
                <w:spacing w:val="-7"/>
              </w:rPr>
              <w:t>过</w:t>
            </w:r>
            <w:r>
              <w:rPr>
                <w:rFonts w:hint="eastAsia" w:ascii="楷体" w:hAnsi="楷体" w:eastAsia="楷体" w:cs="楷体"/>
                <w:color w:val="auto"/>
                <w:spacing w:val="-7"/>
                <w:lang w:val="en-US" w:eastAsia="zh-CN"/>
              </w:rPr>
              <w:t>12</w:t>
            </w:r>
            <w:r>
              <w:rPr>
                <w:rFonts w:hint="eastAsia" w:ascii="楷体" w:hAnsi="楷体" w:eastAsia="楷体" w:cs="楷体"/>
                <w:color w:val="auto"/>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953" w:type="pct"/>
            <w:vAlign w:val="center"/>
          </w:tcPr>
          <w:p>
            <w:pPr>
              <w:widowControl w:val="0"/>
              <w:kinsoku/>
              <w:autoSpaceDN/>
              <w:spacing w:before="35"/>
              <w:jc w:val="center"/>
              <w:rPr>
                <w:rFonts w:ascii="楷体" w:hAnsi="楷体" w:eastAsia="楷体" w:cs="楷体"/>
                <w:color w:val="auto"/>
              </w:rPr>
            </w:pPr>
            <w:r>
              <w:rPr>
                <w:rFonts w:hint="eastAsia" w:ascii="楷体" w:hAnsi="楷体" w:eastAsia="楷体" w:cs="楷体"/>
                <w:color w:val="auto"/>
                <w:spacing w:val="-4"/>
              </w:rPr>
              <w:t>5-15 (含)小时</w:t>
            </w:r>
          </w:p>
        </w:tc>
        <w:tc>
          <w:tcPr>
            <w:tcW w:w="1015" w:type="pct"/>
            <w:vAlign w:val="center"/>
          </w:tcPr>
          <w:p>
            <w:pPr>
              <w:widowControl w:val="0"/>
              <w:kinsoku/>
              <w:autoSpaceDN/>
              <w:jc w:val="center"/>
              <w:rPr>
                <w:rFonts w:hint="default" w:ascii="楷体" w:hAnsi="楷体" w:eastAsia="楷体" w:cs="楷体"/>
                <w:color w:val="auto"/>
                <w:lang w:val="en-US" w:eastAsia="zh-CN"/>
              </w:rPr>
            </w:pPr>
            <w:r>
              <w:rPr>
                <w:rFonts w:hint="eastAsia" w:ascii="楷体" w:hAnsi="楷体" w:eastAsia="楷体" w:cs="楷体"/>
                <w:color w:val="auto"/>
                <w:lang w:val="en-US" w:eastAsia="zh-CN"/>
              </w:rPr>
              <w:t>4</w:t>
            </w:r>
          </w:p>
        </w:tc>
        <w:tc>
          <w:tcPr>
            <w:tcW w:w="3031" w:type="pct"/>
            <w:vMerge w:val="continue"/>
            <w:vAlign w:val="center"/>
          </w:tcPr>
          <w:p>
            <w:pPr>
              <w:widowControl w:val="0"/>
              <w:kinsoku/>
              <w:autoSpaceDN/>
              <w:spacing w:before="75"/>
              <w:ind w:left="673"/>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53" w:type="pct"/>
            <w:vAlign w:val="center"/>
          </w:tcPr>
          <w:p>
            <w:pPr>
              <w:widowControl w:val="0"/>
              <w:kinsoku/>
              <w:autoSpaceDN/>
              <w:spacing w:before="33"/>
              <w:jc w:val="center"/>
              <w:rPr>
                <w:rFonts w:ascii="楷体" w:hAnsi="楷体" w:eastAsia="楷体" w:cs="楷体"/>
                <w:color w:val="auto"/>
              </w:rPr>
            </w:pPr>
            <w:r>
              <w:rPr>
                <w:rFonts w:hint="eastAsia" w:ascii="楷体" w:hAnsi="楷体" w:eastAsia="楷体" w:cs="楷体"/>
                <w:color w:val="auto"/>
                <w:spacing w:val="-4"/>
              </w:rPr>
              <w:t>15-25 (含)小时</w:t>
            </w:r>
          </w:p>
        </w:tc>
        <w:tc>
          <w:tcPr>
            <w:tcW w:w="1015" w:type="pct"/>
            <w:vAlign w:val="center"/>
          </w:tcPr>
          <w:p>
            <w:pPr>
              <w:widowControl w:val="0"/>
              <w:kinsoku/>
              <w:autoSpaceDN/>
              <w:jc w:val="center"/>
              <w:rPr>
                <w:rFonts w:hint="eastAsia" w:ascii="楷体" w:hAnsi="楷体" w:eastAsia="楷体" w:cs="楷体"/>
                <w:color w:val="auto"/>
                <w:lang w:eastAsia="zh-CN"/>
              </w:rPr>
            </w:pPr>
            <w:r>
              <w:rPr>
                <w:rFonts w:hint="eastAsia" w:ascii="楷体" w:hAnsi="楷体" w:eastAsia="楷体" w:cs="楷体"/>
                <w:color w:val="auto"/>
                <w:spacing w:val="-4"/>
                <w:lang w:val="en-US" w:eastAsia="zh-CN"/>
              </w:rPr>
              <w:t>6</w:t>
            </w:r>
          </w:p>
        </w:tc>
        <w:tc>
          <w:tcPr>
            <w:tcW w:w="3031" w:type="pct"/>
            <w:vMerge w:val="continue"/>
            <w:vAlign w:val="center"/>
          </w:tcPr>
          <w:p>
            <w:pPr>
              <w:widowControl w:val="0"/>
              <w:kinsoku/>
              <w:autoSpaceDN/>
              <w:spacing w:before="75"/>
              <w:ind w:left="581"/>
              <w:jc w:val="center"/>
              <w:rPr>
                <w:rFonts w:ascii="楷体" w:hAnsi="楷体" w:eastAsia="楷体" w:cs="楷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953" w:type="pct"/>
            <w:vAlign w:val="center"/>
          </w:tcPr>
          <w:p>
            <w:pPr>
              <w:widowControl w:val="0"/>
              <w:kinsoku/>
              <w:autoSpaceDN/>
              <w:spacing w:before="33"/>
              <w:jc w:val="center"/>
              <w:rPr>
                <w:rFonts w:ascii="楷体" w:hAnsi="楷体" w:eastAsia="楷体" w:cs="楷体"/>
                <w:color w:val="auto"/>
                <w:spacing w:val="-1"/>
              </w:rPr>
            </w:pPr>
            <w:r>
              <w:rPr>
                <w:rFonts w:hint="eastAsia" w:ascii="楷体" w:hAnsi="楷体" w:eastAsia="楷体" w:cs="楷体"/>
                <w:color w:val="auto"/>
                <w:spacing w:val="-16"/>
              </w:rPr>
              <w:t>25-</w:t>
            </w:r>
            <w:r>
              <w:rPr>
                <w:rFonts w:hint="eastAsia" w:ascii="楷体" w:hAnsi="楷体" w:eastAsia="楷体" w:cs="楷体"/>
                <w:color w:val="auto"/>
                <w:spacing w:val="-14"/>
              </w:rPr>
              <w:t>40</w:t>
            </w:r>
            <w:r>
              <w:rPr>
                <w:rFonts w:hint="eastAsia" w:ascii="楷体" w:hAnsi="楷体" w:eastAsia="楷体" w:cs="楷体"/>
                <w:color w:val="auto"/>
                <w:spacing w:val="-8"/>
              </w:rPr>
              <w:t>(含)小时</w:t>
            </w:r>
          </w:p>
        </w:tc>
        <w:tc>
          <w:tcPr>
            <w:tcW w:w="1015" w:type="pct"/>
            <w:vAlign w:val="center"/>
          </w:tcPr>
          <w:p>
            <w:pPr>
              <w:widowControl w:val="0"/>
              <w:kinsoku/>
              <w:autoSpaceDN/>
              <w:jc w:val="center"/>
              <w:rPr>
                <w:rFonts w:hint="eastAsia" w:ascii="楷体" w:hAnsi="楷体" w:eastAsia="楷体" w:cs="楷体"/>
                <w:color w:val="auto"/>
                <w:lang w:eastAsia="zh-CN"/>
              </w:rPr>
            </w:pPr>
            <w:r>
              <w:rPr>
                <w:rFonts w:hint="eastAsia" w:ascii="楷体" w:hAnsi="楷体" w:eastAsia="楷体" w:cs="楷体"/>
                <w:color w:val="auto"/>
                <w:spacing w:val="-8"/>
                <w:lang w:val="en-US" w:eastAsia="zh-CN"/>
              </w:rPr>
              <w:t>8</w:t>
            </w:r>
          </w:p>
        </w:tc>
        <w:tc>
          <w:tcPr>
            <w:tcW w:w="3031" w:type="pct"/>
            <w:vMerge w:val="continue"/>
            <w:vAlign w:val="center"/>
          </w:tcPr>
          <w:p>
            <w:pPr>
              <w:widowControl w:val="0"/>
              <w:kinsoku/>
              <w:autoSpaceDN/>
              <w:spacing w:before="75"/>
              <w:ind w:left="581"/>
              <w:jc w:val="center"/>
              <w:rPr>
                <w:rFonts w:ascii="楷体" w:hAnsi="楷体" w:eastAsia="楷体" w:cs="楷体"/>
                <w:color w:val="auto"/>
                <w:spacing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53" w:type="pct"/>
            <w:vAlign w:val="center"/>
          </w:tcPr>
          <w:p>
            <w:pPr>
              <w:widowControl w:val="0"/>
              <w:kinsoku/>
              <w:autoSpaceDN/>
              <w:spacing w:before="33"/>
              <w:jc w:val="center"/>
              <w:rPr>
                <w:rFonts w:ascii="楷体" w:hAnsi="楷体" w:eastAsia="楷体" w:cs="楷体"/>
                <w:color w:val="auto"/>
                <w:spacing w:val="-8"/>
              </w:rPr>
            </w:pPr>
            <w:r>
              <w:rPr>
                <w:rFonts w:hint="eastAsia" w:ascii="楷体" w:hAnsi="楷体" w:eastAsia="楷体" w:cs="楷体"/>
                <w:color w:val="auto"/>
                <w:spacing w:val="-8"/>
              </w:rPr>
              <w:t>40-60(含)小时</w:t>
            </w:r>
          </w:p>
        </w:tc>
        <w:tc>
          <w:tcPr>
            <w:tcW w:w="1015" w:type="pct"/>
            <w:vAlign w:val="center"/>
          </w:tcPr>
          <w:p>
            <w:pPr>
              <w:widowControl w:val="0"/>
              <w:kinsoku/>
              <w:autoSpaceDN/>
              <w:jc w:val="center"/>
              <w:rPr>
                <w:rFonts w:hint="default" w:ascii="楷体" w:hAnsi="楷体" w:eastAsia="楷体" w:cs="楷体"/>
                <w:color w:val="auto"/>
                <w:spacing w:val="-8"/>
                <w:lang w:val="en-US" w:eastAsia="zh-CN"/>
              </w:rPr>
            </w:pPr>
            <w:r>
              <w:rPr>
                <w:rFonts w:hint="eastAsia" w:ascii="楷体" w:hAnsi="楷体" w:eastAsia="楷体" w:cs="楷体"/>
                <w:color w:val="auto"/>
                <w:spacing w:val="-8"/>
                <w:lang w:val="en-US" w:eastAsia="zh-CN"/>
              </w:rPr>
              <w:t>10</w:t>
            </w:r>
          </w:p>
        </w:tc>
        <w:tc>
          <w:tcPr>
            <w:tcW w:w="3031" w:type="pct"/>
            <w:vMerge w:val="continue"/>
            <w:vAlign w:val="center"/>
          </w:tcPr>
          <w:p>
            <w:pPr>
              <w:widowControl w:val="0"/>
              <w:kinsoku/>
              <w:autoSpaceDN/>
              <w:spacing w:before="75"/>
              <w:ind w:left="581"/>
              <w:jc w:val="center"/>
              <w:rPr>
                <w:rFonts w:ascii="楷体" w:hAnsi="楷体" w:eastAsia="楷体" w:cs="楷体"/>
                <w:color w:val="auto"/>
                <w:spacing w:val="-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53" w:type="pct"/>
            <w:vAlign w:val="center"/>
          </w:tcPr>
          <w:p>
            <w:pPr>
              <w:widowControl w:val="0"/>
              <w:kinsoku/>
              <w:autoSpaceDN/>
              <w:spacing w:before="33"/>
              <w:jc w:val="center"/>
              <w:rPr>
                <w:rFonts w:ascii="楷体" w:hAnsi="楷体" w:eastAsia="楷体" w:cs="楷体"/>
                <w:color w:val="auto"/>
                <w:spacing w:val="-8"/>
              </w:rPr>
            </w:pPr>
            <w:r>
              <w:rPr>
                <w:rFonts w:hint="eastAsia" w:ascii="楷体" w:hAnsi="楷体" w:eastAsia="楷体" w:cs="楷体"/>
                <w:color w:val="auto"/>
                <w:spacing w:val="-8"/>
              </w:rPr>
              <w:t>60小时以上</w:t>
            </w:r>
          </w:p>
        </w:tc>
        <w:tc>
          <w:tcPr>
            <w:tcW w:w="1015" w:type="pct"/>
            <w:vAlign w:val="center"/>
          </w:tcPr>
          <w:p>
            <w:pPr>
              <w:widowControl w:val="0"/>
              <w:kinsoku/>
              <w:autoSpaceDN/>
              <w:jc w:val="center"/>
              <w:rPr>
                <w:rFonts w:hint="default" w:ascii="楷体" w:hAnsi="楷体" w:eastAsia="楷体" w:cs="楷体"/>
                <w:color w:val="auto"/>
                <w:spacing w:val="-8"/>
                <w:lang w:val="en-US" w:eastAsia="zh-CN"/>
              </w:rPr>
            </w:pPr>
            <w:r>
              <w:rPr>
                <w:rFonts w:hint="eastAsia" w:ascii="楷体" w:hAnsi="楷体" w:eastAsia="楷体" w:cs="楷体"/>
                <w:color w:val="auto"/>
                <w:spacing w:val="-8"/>
                <w:lang w:val="en-US" w:eastAsia="zh-CN"/>
              </w:rPr>
              <w:t>12</w:t>
            </w:r>
          </w:p>
        </w:tc>
        <w:tc>
          <w:tcPr>
            <w:tcW w:w="3031" w:type="pct"/>
            <w:vMerge w:val="continue"/>
            <w:vAlign w:val="center"/>
          </w:tcPr>
          <w:p>
            <w:pPr>
              <w:widowControl w:val="0"/>
              <w:kinsoku/>
              <w:autoSpaceDN/>
              <w:spacing w:before="75"/>
              <w:ind w:left="581"/>
              <w:jc w:val="center"/>
              <w:rPr>
                <w:rFonts w:ascii="楷体" w:hAnsi="楷体" w:eastAsia="楷体" w:cs="楷体"/>
                <w:color w:val="auto"/>
                <w:spacing w:val="-1"/>
              </w:rPr>
            </w:pPr>
          </w:p>
        </w:tc>
      </w:tr>
    </w:tbl>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textAlignment w:val="baseline"/>
        <w:outlineLvl w:val="6"/>
        <w:rPr>
          <w:rFonts w:ascii="宋体" w:hAnsi="宋体" w:eastAsia="宋体" w:cs="宋体"/>
          <w:color w:val="auto"/>
          <w:sz w:val="24"/>
          <w:szCs w:val="24"/>
        </w:rPr>
      </w:pPr>
      <w:r>
        <w:rPr>
          <w:rFonts w:hint="eastAsia" w:ascii="宋体" w:hAnsi="宋体" w:eastAsia="宋体" w:cs="宋体"/>
          <w:color w:val="auto"/>
          <w:sz w:val="24"/>
          <w:szCs w:val="24"/>
          <w:lang w:val="en-US" w:eastAsia="zh-CN"/>
        </w:rPr>
        <w:t>参与社会活动获得荣誉及奖励计分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40</w:t>
      </w:r>
      <w:r>
        <w:rPr>
          <w:rFonts w:hint="eastAsia" w:ascii="仿宋" w:hAnsi="仿宋" w:eastAsia="仿宋" w:cs="仿宋"/>
          <w:bCs/>
          <w:color w:val="FF0000"/>
        </w:rPr>
        <w:t>分）</w:t>
      </w:r>
    </w:p>
    <w:tbl>
      <w:tblPr>
        <w:tblStyle w:val="18"/>
        <w:tblW w:w="15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8"/>
        <w:gridCol w:w="658"/>
        <w:gridCol w:w="2528"/>
        <w:gridCol w:w="1029"/>
        <w:gridCol w:w="1243"/>
        <w:gridCol w:w="1282"/>
        <w:gridCol w:w="890"/>
        <w:gridCol w:w="7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758" w:type="dxa"/>
            <w:tcBorders>
              <w:bottom w:val="nil"/>
            </w:tcBorders>
            <w:vAlign w:val="center"/>
          </w:tcPr>
          <w:p>
            <w:pPr>
              <w:widowControl w:val="0"/>
              <w:kinsoku/>
              <w:autoSpaceDN/>
              <w:spacing w:before="68"/>
              <w:jc w:val="center"/>
              <w:rPr>
                <w:rFonts w:hint="eastAsia" w:ascii="楷体" w:hAnsi="楷体" w:eastAsia="楷体" w:cs="楷体"/>
                <w:color w:val="auto"/>
                <w:spacing w:val="-2"/>
                <w:sz w:val="21"/>
                <w:szCs w:val="21"/>
              </w:rPr>
            </w:pPr>
          </w:p>
        </w:tc>
        <w:tc>
          <w:tcPr>
            <w:tcW w:w="3186" w:type="dxa"/>
            <w:gridSpan w:val="2"/>
            <w:vMerge w:val="restart"/>
            <w:tcBorders>
              <w:bottom w:val="nil"/>
            </w:tcBorders>
            <w:vAlign w:val="center"/>
          </w:tcPr>
          <w:p>
            <w:pPr>
              <w:widowControl w:val="0"/>
              <w:kinsoku/>
              <w:autoSpaceDN/>
              <w:spacing w:before="68"/>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等级</w:t>
            </w:r>
          </w:p>
        </w:tc>
        <w:tc>
          <w:tcPr>
            <w:tcW w:w="3554" w:type="dxa"/>
            <w:gridSpan w:val="3"/>
            <w:vAlign w:val="center"/>
          </w:tcPr>
          <w:p>
            <w:pPr>
              <w:widowControl w:val="0"/>
              <w:kinsoku/>
              <w:autoSpaceDN/>
              <w:spacing w:before="33"/>
              <w:ind w:left="396"/>
              <w:jc w:val="center"/>
              <w:rPr>
                <w:rFonts w:hint="eastAsia" w:ascii="楷体" w:hAnsi="楷体" w:eastAsia="楷体" w:cs="楷体"/>
                <w:color w:val="auto"/>
                <w:sz w:val="21"/>
                <w:szCs w:val="21"/>
              </w:rPr>
            </w:pPr>
            <w:r>
              <w:rPr>
                <w:rFonts w:hint="eastAsia" w:ascii="楷体" w:hAnsi="楷体" w:eastAsia="楷体" w:cs="楷体"/>
                <w:color w:val="auto"/>
                <w:spacing w:val="-1"/>
                <w:sz w:val="21"/>
                <w:szCs w:val="21"/>
              </w:rPr>
              <w:t>集体</w:t>
            </w:r>
          </w:p>
        </w:tc>
        <w:tc>
          <w:tcPr>
            <w:tcW w:w="890" w:type="dxa"/>
            <w:vMerge w:val="restart"/>
            <w:tcBorders>
              <w:bottom w:val="nil"/>
            </w:tcBorders>
            <w:vAlign w:val="center"/>
          </w:tcPr>
          <w:p>
            <w:pPr>
              <w:widowControl w:val="0"/>
              <w:kinsoku/>
              <w:autoSpaceDN/>
              <w:spacing w:before="68"/>
              <w:ind w:left="211"/>
              <w:jc w:val="both"/>
              <w:rPr>
                <w:rFonts w:hint="eastAsia" w:ascii="楷体" w:hAnsi="楷体" w:eastAsia="楷体" w:cs="楷体"/>
                <w:color w:val="auto"/>
                <w:sz w:val="21"/>
                <w:szCs w:val="21"/>
              </w:rPr>
            </w:pPr>
            <w:r>
              <w:rPr>
                <w:rFonts w:hint="eastAsia" w:ascii="楷体" w:hAnsi="楷体" w:eastAsia="楷体" w:cs="楷体"/>
                <w:color w:val="auto"/>
                <w:spacing w:val="-1"/>
                <w:sz w:val="21"/>
                <w:szCs w:val="21"/>
              </w:rPr>
              <w:t>个人</w:t>
            </w:r>
          </w:p>
        </w:tc>
        <w:tc>
          <w:tcPr>
            <w:tcW w:w="7016" w:type="dxa"/>
            <w:tcBorders>
              <w:bottom w:val="nil"/>
            </w:tcBorders>
            <w:vAlign w:val="center"/>
          </w:tcPr>
          <w:p>
            <w:pPr>
              <w:widowControl w:val="0"/>
              <w:kinsoku/>
              <w:autoSpaceDN/>
              <w:spacing w:before="68"/>
              <w:ind w:left="211"/>
              <w:jc w:val="center"/>
              <w:rPr>
                <w:rFonts w:hint="eastAsia" w:ascii="楷体" w:hAnsi="楷体" w:eastAsia="楷体" w:cs="楷体"/>
                <w:color w:val="auto"/>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758" w:type="dxa"/>
            <w:tcBorders>
              <w:top w:val="nil"/>
              <w:bottom w:val="nil"/>
            </w:tcBorders>
            <w:vAlign w:val="center"/>
          </w:tcPr>
          <w:p>
            <w:pPr>
              <w:widowControl w:val="0"/>
              <w:kinsoku/>
              <w:autoSpaceDN/>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类别</w:t>
            </w:r>
          </w:p>
        </w:tc>
        <w:tc>
          <w:tcPr>
            <w:tcW w:w="3186" w:type="dxa"/>
            <w:gridSpan w:val="2"/>
            <w:vMerge w:val="continue"/>
            <w:tcBorders>
              <w:top w:val="nil"/>
              <w:bottom w:val="nil"/>
            </w:tcBorders>
            <w:vAlign w:val="center"/>
          </w:tcPr>
          <w:p>
            <w:pPr>
              <w:widowControl w:val="0"/>
              <w:kinsoku/>
              <w:autoSpaceDN/>
              <w:jc w:val="center"/>
              <w:rPr>
                <w:rFonts w:hint="eastAsia" w:ascii="楷体" w:hAnsi="楷体" w:eastAsia="楷体" w:cs="楷体"/>
                <w:color w:val="auto"/>
                <w:sz w:val="21"/>
                <w:szCs w:val="21"/>
              </w:rPr>
            </w:pPr>
          </w:p>
        </w:tc>
        <w:tc>
          <w:tcPr>
            <w:tcW w:w="1029" w:type="dxa"/>
            <w:vMerge w:val="restart"/>
            <w:vAlign w:val="center"/>
          </w:tcPr>
          <w:p>
            <w:pPr>
              <w:widowControl w:val="0"/>
              <w:kinsoku/>
              <w:autoSpaceDN/>
              <w:spacing w:before="34"/>
              <w:ind w:left="251" w:right="130" w:hanging="111"/>
              <w:jc w:val="center"/>
              <w:rPr>
                <w:rFonts w:hint="eastAsia" w:ascii="楷体" w:hAnsi="楷体" w:eastAsia="楷体" w:cs="楷体"/>
                <w:color w:val="auto"/>
                <w:sz w:val="21"/>
                <w:szCs w:val="21"/>
              </w:rPr>
            </w:pPr>
            <w:r>
              <w:rPr>
                <w:rFonts w:hint="eastAsia" w:ascii="楷体" w:hAnsi="楷体" w:eastAsia="楷体" w:cs="楷体"/>
                <w:color w:val="auto"/>
                <w:spacing w:val="-2"/>
                <w:sz w:val="21"/>
                <w:szCs w:val="21"/>
              </w:rPr>
              <w:t>负</w:t>
            </w:r>
            <w:r>
              <w:rPr>
                <w:rFonts w:hint="eastAsia" w:ascii="楷体" w:hAnsi="楷体" w:eastAsia="楷体" w:cs="楷体"/>
                <w:color w:val="auto"/>
                <w:spacing w:val="-4"/>
                <w:sz w:val="21"/>
                <w:szCs w:val="21"/>
              </w:rPr>
              <w:t>责</w:t>
            </w:r>
            <w:r>
              <w:rPr>
                <w:rFonts w:hint="eastAsia" w:ascii="楷体" w:hAnsi="楷体" w:eastAsia="楷体" w:cs="楷体"/>
                <w:color w:val="auto"/>
                <w:spacing w:val="-3"/>
                <w:sz w:val="21"/>
                <w:szCs w:val="21"/>
              </w:rPr>
              <w:t>人</w:t>
            </w:r>
          </w:p>
        </w:tc>
        <w:tc>
          <w:tcPr>
            <w:tcW w:w="1243" w:type="dxa"/>
            <w:vMerge w:val="restart"/>
            <w:vAlign w:val="center"/>
          </w:tcPr>
          <w:p>
            <w:pPr>
              <w:widowControl w:val="0"/>
              <w:kinsoku/>
              <w:autoSpaceDN/>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主要参与人</w:t>
            </w:r>
          </w:p>
        </w:tc>
        <w:tc>
          <w:tcPr>
            <w:tcW w:w="1282" w:type="dxa"/>
            <w:vMerge w:val="restart"/>
            <w:tcBorders>
              <w:bottom w:val="nil"/>
            </w:tcBorders>
            <w:vAlign w:val="center"/>
          </w:tcPr>
          <w:p>
            <w:pPr>
              <w:widowControl w:val="0"/>
              <w:kinsoku/>
              <w:autoSpaceDN/>
              <w:spacing w:before="34"/>
              <w:ind w:left="156"/>
              <w:jc w:val="both"/>
              <w:rPr>
                <w:rFonts w:hint="eastAsia" w:ascii="楷体" w:hAnsi="楷体" w:eastAsia="楷体" w:cs="楷体"/>
                <w:color w:val="auto"/>
                <w:sz w:val="21"/>
                <w:szCs w:val="21"/>
                <w:lang w:val="en-US" w:eastAsia="zh-CN"/>
              </w:rPr>
            </w:pPr>
            <w:r>
              <w:rPr>
                <w:rFonts w:hint="eastAsia" w:ascii="楷体" w:hAnsi="楷体" w:eastAsia="楷体" w:cs="楷体"/>
                <w:color w:val="auto"/>
                <w:spacing w:val="-2"/>
                <w:sz w:val="21"/>
                <w:szCs w:val="21"/>
              </w:rPr>
              <w:t>其他</w:t>
            </w:r>
            <w:r>
              <w:rPr>
                <w:rFonts w:hint="eastAsia" w:ascii="楷体" w:hAnsi="楷体" w:eastAsia="楷体" w:cs="楷体"/>
                <w:color w:val="auto"/>
                <w:spacing w:val="-2"/>
                <w:sz w:val="21"/>
                <w:szCs w:val="21"/>
                <w:lang w:val="en-US" w:eastAsia="zh-CN"/>
              </w:rPr>
              <w:t>参与人</w:t>
            </w:r>
          </w:p>
        </w:tc>
        <w:tc>
          <w:tcPr>
            <w:tcW w:w="890" w:type="dxa"/>
            <w:vMerge w:val="continue"/>
            <w:tcBorders>
              <w:top w:val="nil"/>
              <w:bottom w:val="nil"/>
            </w:tcBorders>
            <w:vAlign w:val="center"/>
          </w:tcPr>
          <w:p>
            <w:pPr>
              <w:widowControl w:val="0"/>
              <w:kinsoku/>
              <w:autoSpaceDN/>
              <w:jc w:val="center"/>
              <w:rPr>
                <w:rFonts w:hint="eastAsia" w:ascii="楷体" w:hAnsi="楷体" w:eastAsia="楷体" w:cs="楷体"/>
                <w:color w:val="auto"/>
                <w:sz w:val="21"/>
                <w:szCs w:val="21"/>
              </w:rPr>
            </w:pPr>
          </w:p>
        </w:tc>
        <w:tc>
          <w:tcPr>
            <w:tcW w:w="7016" w:type="dxa"/>
            <w:tcBorders>
              <w:top w:val="nil"/>
              <w:bottom w:val="nil"/>
            </w:tcBorders>
            <w:vAlign w:val="center"/>
          </w:tcPr>
          <w:p>
            <w:pPr>
              <w:widowControl w:val="0"/>
              <w:kinsoku/>
              <w:autoSpaceDN/>
              <w:jc w:val="center"/>
              <w:rPr>
                <w:rFonts w:hint="eastAsia" w:ascii="楷体" w:hAnsi="楷体" w:eastAsia="楷体" w:cs="楷体"/>
                <w:color w:val="auto"/>
                <w:sz w:val="21"/>
                <w:szCs w:val="21"/>
              </w:rPr>
            </w:pPr>
            <w:r>
              <w:rPr>
                <w:rFonts w:hint="eastAsia" w:ascii="楷体" w:hAnsi="楷体" w:eastAsia="楷体" w:cs="楷体"/>
                <w:color w:val="auto"/>
                <w:sz w:val="21"/>
                <w:szCs w:val="2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758" w:type="dxa"/>
            <w:tcBorders>
              <w:top w:val="nil"/>
            </w:tcBorders>
            <w:vAlign w:val="center"/>
          </w:tcPr>
          <w:p>
            <w:pPr>
              <w:widowControl w:val="0"/>
              <w:kinsoku/>
              <w:autoSpaceDN/>
              <w:jc w:val="center"/>
              <w:rPr>
                <w:rFonts w:hint="eastAsia" w:ascii="楷体" w:hAnsi="楷体" w:eastAsia="楷体" w:cs="楷体"/>
                <w:color w:val="auto"/>
                <w:sz w:val="21"/>
                <w:szCs w:val="21"/>
              </w:rPr>
            </w:pPr>
          </w:p>
        </w:tc>
        <w:tc>
          <w:tcPr>
            <w:tcW w:w="3186" w:type="dxa"/>
            <w:gridSpan w:val="2"/>
            <w:vMerge w:val="continue"/>
            <w:tcBorders>
              <w:top w:val="nil"/>
            </w:tcBorders>
            <w:vAlign w:val="center"/>
          </w:tcPr>
          <w:p>
            <w:pPr>
              <w:widowControl w:val="0"/>
              <w:kinsoku/>
              <w:autoSpaceDN/>
              <w:jc w:val="center"/>
              <w:rPr>
                <w:rFonts w:hint="eastAsia" w:ascii="楷体" w:hAnsi="楷体" w:eastAsia="楷体" w:cs="楷体"/>
                <w:color w:val="auto"/>
                <w:sz w:val="21"/>
                <w:szCs w:val="21"/>
              </w:rPr>
            </w:pPr>
          </w:p>
        </w:tc>
        <w:tc>
          <w:tcPr>
            <w:tcW w:w="1029" w:type="dxa"/>
            <w:vMerge w:val="continue"/>
            <w:vAlign w:val="center"/>
          </w:tcPr>
          <w:p>
            <w:pPr>
              <w:widowControl w:val="0"/>
              <w:kinsoku/>
              <w:autoSpaceDN/>
              <w:jc w:val="center"/>
              <w:rPr>
                <w:rFonts w:hint="eastAsia" w:ascii="楷体" w:hAnsi="楷体" w:eastAsia="楷体" w:cs="楷体"/>
                <w:color w:val="auto"/>
                <w:sz w:val="21"/>
                <w:szCs w:val="21"/>
              </w:rPr>
            </w:pPr>
          </w:p>
        </w:tc>
        <w:tc>
          <w:tcPr>
            <w:tcW w:w="1243" w:type="dxa"/>
            <w:vMerge w:val="continue"/>
            <w:vAlign w:val="center"/>
          </w:tcPr>
          <w:p>
            <w:pPr>
              <w:widowControl w:val="0"/>
              <w:kinsoku/>
              <w:autoSpaceDN/>
              <w:jc w:val="both"/>
              <w:rPr>
                <w:rFonts w:hint="eastAsia" w:ascii="楷体" w:hAnsi="楷体" w:eastAsia="楷体" w:cs="楷体"/>
                <w:color w:val="auto"/>
                <w:sz w:val="21"/>
                <w:szCs w:val="21"/>
                <w:lang w:val="en-US" w:eastAsia="zh-CN"/>
              </w:rPr>
            </w:pPr>
          </w:p>
        </w:tc>
        <w:tc>
          <w:tcPr>
            <w:tcW w:w="1282" w:type="dxa"/>
            <w:vMerge w:val="continue"/>
            <w:tcBorders>
              <w:top w:val="nil"/>
            </w:tcBorders>
            <w:vAlign w:val="center"/>
          </w:tcPr>
          <w:p>
            <w:pPr>
              <w:widowControl w:val="0"/>
              <w:kinsoku/>
              <w:autoSpaceDN/>
              <w:jc w:val="center"/>
              <w:rPr>
                <w:rFonts w:hint="eastAsia" w:ascii="楷体" w:hAnsi="楷体" w:eastAsia="楷体" w:cs="楷体"/>
                <w:color w:val="auto"/>
                <w:sz w:val="21"/>
                <w:szCs w:val="21"/>
              </w:rPr>
            </w:pPr>
          </w:p>
        </w:tc>
        <w:tc>
          <w:tcPr>
            <w:tcW w:w="890" w:type="dxa"/>
            <w:vMerge w:val="continue"/>
            <w:tcBorders>
              <w:top w:val="nil"/>
            </w:tcBorders>
            <w:vAlign w:val="center"/>
          </w:tcPr>
          <w:p>
            <w:pPr>
              <w:widowControl w:val="0"/>
              <w:kinsoku/>
              <w:autoSpaceDN/>
              <w:jc w:val="center"/>
              <w:rPr>
                <w:rFonts w:hint="eastAsia" w:ascii="楷体" w:hAnsi="楷体" w:eastAsia="楷体" w:cs="楷体"/>
                <w:color w:val="auto"/>
                <w:sz w:val="21"/>
                <w:szCs w:val="21"/>
              </w:rPr>
            </w:pPr>
          </w:p>
        </w:tc>
        <w:tc>
          <w:tcPr>
            <w:tcW w:w="7016" w:type="dxa"/>
            <w:tcBorders>
              <w:top w:val="nil"/>
            </w:tcBorders>
            <w:vAlign w:val="center"/>
          </w:tcPr>
          <w:p>
            <w:pPr>
              <w:widowControl w:val="0"/>
              <w:kinsoku/>
              <w:autoSpaceDN/>
              <w:jc w:val="center"/>
              <w:rPr>
                <w:rFonts w:hint="eastAsia" w:ascii="楷体" w:hAnsi="楷体" w:eastAsia="楷体" w:cs="楷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758" w:type="dxa"/>
            <w:vMerge w:val="restart"/>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奖励</w:t>
            </w:r>
          </w:p>
        </w:tc>
        <w:tc>
          <w:tcPr>
            <w:tcW w:w="658" w:type="dxa"/>
            <w:vAlign w:val="center"/>
          </w:tcPr>
          <w:p>
            <w:pPr>
              <w:widowControl w:val="0"/>
              <w:kinsoku/>
              <w:autoSpaceDN/>
              <w:spacing w:before="29"/>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1</w:t>
            </w:r>
          </w:p>
        </w:tc>
        <w:tc>
          <w:tcPr>
            <w:tcW w:w="2528" w:type="dxa"/>
            <w:vAlign w:val="center"/>
          </w:tcPr>
          <w:p>
            <w:pPr>
              <w:widowControl w:val="0"/>
              <w:kinsoku/>
              <w:autoSpaceDN/>
              <w:spacing w:before="29"/>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rPr>
              <w:t>国家一</w:t>
            </w:r>
            <w:r>
              <w:rPr>
                <w:rFonts w:hint="eastAsia" w:ascii="楷体" w:hAnsi="楷体" w:eastAsia="楷体" w:cs="楷体"/>
                <w:color w:val="auto"/>
                <w:spacing w:val="-2"/>
                <w:sz w:val="21"/>
                <w:szCs w:val="21"/>
              </w:rPr>
              <w:t>等奖或前三名以上</w:t>
            </w:r>
          </w:p>
        </w:tc>
        <w:tc>
          <w:tcPr>
            <w:tcW w:w="1029" w:type="dxa"/>
            <w:vAlign w:val="center"/>
          </w:tcPr>
          <w:p>
            <w:pPr>
              <w:widowControl w:val="0"/>
              <w:kinsoku/>
              <w:autoSpaceDN/>
              <w:spacing w:before="68"/>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3"/>
                <w:sz w:val="21"/>
                <w:szCs w:val="21"/>
                <w:lang w:val="en-US" w:eastAsia="zh-CN"/>
              </w:rPr>
              <w:t>40</w:t>
            </w:r>
          </w:p>
        </w:tc>
        <w:tc>
          <w:tcPr>
            <w:tcW w:w="1243" w:type="dxa"/>
            <w:vAlign w:val="center"/>
          </w:tcPr>
          <w:p>
            <w:pPr>
              <w:widowControl w:val="0"/>
              <w:kinsoku/>
              <w:autoSpaceDN/>
              <w:spacing w:before="70"/>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28</w:t>
            </w:r>
          </w:p>
        </w:tc>
        <w:tc>
          <w:tcPr>
            <w:tcW w:w="1282" w:type="dxa"/>
            <w:vAlign w:val="center"/>
          </w:tcPr>
          <w:p>
            <w:pPr>
              <w:widowControl w:val="0"/>
              <w:kinsoku/>
              <w:autoSpaceDN/>
              <w:spacing w:before="68"/>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20</w:t>
            </w:r>
          </w:p>
        </w:tc>
        <w:tc>
          <w:tcPr>
            <w:tcW w:w="890" w:type="dxa"/>
            <w:vAlign w:val="center"/>
          </w:tcPr>
          <w:p>
            <w:pPr>
              <w:widowControl w:val="0"/>
              <w:kinsoku/>
              <w:autoSpaceDN/>
              <w:spacing w:before="68"/>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3"/>
                <w:sz w:val="21"/>
                <w:szCs w:val="21"/>
                <w:lang w:val="en-US" w:eastAsia="zh-CN"/>
              </w:rPr>
              <w:t>40</w:t>
            </w:r>
          </w:p>
        </w:tc>
        <w:tc>
          <w:tcPr>
            <w:tcW w:w="7016" w:type="dxa"/>
            <w:vMerge w:val="restart"/>
            <w:vAlign w:val="top"/>
          </w:tcPr>
          <w:p>
            <w:pPr>
              <w:widowControl w:val="0"/>
              <w:numPr>
                <w:ilvl w:val="0"/>
                <w:numId w:val="5"/>
              </w:numPr>
              <w:kinsoku/>
              <w:autoSpaceDN/>
              <w:jc w:val="both"/>
              <w:rPr>
                <w:rFonts w:hint="eastAsia" w:ascii="楷体" w:hAnsi="楷体" w:eastAsia="楷体" w:cs="楷体"/>
                <w:color w:val="auto"/>
                <w:spacing w:val="2"/>
                <w:sz w:val="21"/>
                <w:szCs w:val="21"/>
              </w:rPr>
            </w:pPr>
            <w:r>
              <w:rPr>
                <w:rFonts w:hint="eastAsia" w:ascii="楷体" w:hAnsi="楷体" w:eastAsia="楷体" w:cs="楷体"/>
                <w:color w:val="auto"/>
                <w:spacing w:val="-1"/>
                <w:sz w:val="21"/>
                <w:szCs w:val="21"/>
              </w:rPr>
              <w:t>各级奖励指教育部、团中央等上级单位</w:t>
            </w:r>
            <w:r>
              <w:rPr>
                <w:rFonts w:hint="eastAsia" w:ascii="楷体" w:hAnsi="楷体" w:eastAsia="楷体" w:cs="楷体"/>
                <w:color w:val="auto"/>
                <w:sz w:val="21"/>
                <w:szCs w:val="21"/>
              </w:rPr>
              <w:t>或学校相关部门、人文学院正式举办的各类主题教育、文体活动、竞争性评比、非学科类竞赛等，如党</w:t>
            </w:r>
            <w:r>
              <w:rPr>
                <w:rFonts w:hint="eastAsia" w:ascii="楷体" w:hAnsi="楷体" w:eastAsia="楷体" w:cs="楷体"/>
                <w:color w:val="auto"/>
                <w:spacing w:val="-4"/>
                <w:sz w:val="21"/>
                <w:szCs w:val="21"/>
              </w:rPr>
              <w:t>日/团日活动</w:t>
            </w:r>
            <w:r>
              <w:rPr>
                <w:rFonts w:hint="eastAsia" w:ascii="楷体" w:hAnsi="楷体" w:eastAsia="楷体" w:cs="楷体"/>
                <w:color w:val="auto"/>
                <w:spacing w:val="-2"/>
                <w:sz w:val="21"/>
                <w:szCs w:val="21"/>
              </w:rPr>
              <w:t>/社会实践评比、党史国情/校史校情知识竞赛、职业规划大赛、模拟面试大赛、简历大赛、校运会、院运会、院系杯、辩论赛等。</w:t>
            </w:r>
          </w:p>
          <w:p>
            <w:pPr>
              <w:widowControl w:val="0"/>
              <w:numPr>
                <w:ilvl w:val="0"/>
                <w:numId w:val="5"/>
              </w:numPr>
              <w:kinsoku/>
              <w:autoSpaceDN/>
              <w:jc w:val="both"/>
              <w:rPr>
                <w:rFonts w:hint="eastAsia" w:ascii="楷体" w:hAnsi="楷体" w:eastAsia="楷体" w:cs="楷体"/>
                <w:color w:val="auto"/>
                <w:spacing w:val="2"/>
                <w:sz w:val="21"/>
                <w:szCs w:val="21"/>
              </w:rPr>
            </w:pPr>
            <w:r>
              <w:rPr>
                <w:rFonts w:hint="eastAsia" w:ascii="楷体" w:hAnsi="楷体" w:eastAsia="楷体" w:cs="楷体"/>
                <w:color w:val="auto"/>
                <w:spacing w:val="-4"/>
                <w:sz w:val="21"/>
                <w:szCs w:val="21"/>
              </w:rPr>
              <w:t>集体参与活动如获奖，主要参与人至多1名，由负责人确定；无负责人的项目如运动会等在学院认可的情况下可均按主要参与人计分。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0"/>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2</w:t>
            </w:r>
          </w:p>
        </w:tc>
        <w:tc>
          <w:tcPr>
            <w:tcW w:w="2528" w:type="dxa"/>
            <w:vAlign w:val="center"/>
          </w:tcPr>
          <w:p>
            <w:pPr>
              <w:widowControl w:val="0"/>
              <w:kinsoku/>
              <w:autoSpaceDN/>
              <w:spacing w:before="30"/>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rPr>
              <w:t>国家级</w:t>
            </w:r>
            <w:r>
              <w:rPr>
                <w:rFonts w:hint="eastAsia" w:ascii="楷体" w:hAnsi="楷体" w:eastAsia="楷体" w:cs="楷体"/>
                <w:color w:val="auto"/>
                <w:spacing w:val="-2"/>
                <w:sz w:val="21"/>
                <w:szCs w:val="21"/>
                <w:lang w:val="en-US" w:eastAsia="zh-CN"/>
              </w:rPr>
              <w:t>二等奖及以下</w:t>
            </w:r>
          </w:p>
          <w:p>
            <w:pPr>
              <w:widowControl w:val="0"/>
              <w:kinsoku/>
              <w:autoSpaceDN/>
              <w:spacing w:before="30"/>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2"/>
                <w:sz w:val="21"/>
                <w:szCs w:val="21"/>
                <w:lang w:val="en-US" w:eastAsia="zh-CN"/>
              </w:rPr>
              <w:t>省级</w:t>
            </w:r>
            <w:r>
              <w:rPr>
                <w:rFonts w:hint="eastAsia" w:ascii="楷体" w:hAnsi="楷体" w:eastAsia="楷体" w:cs="楷体"/>
                <w:color w:val="auto"/>
                <w:spacing w:val="-2"/>
                <w:sz w:val="21"/>
                <w:szCs w:val="21"/>
              </w:rPr>
              <w:t>一</w:t>
            </w:r>
            <w:r>
              <w:rPr>
                <w:rFonts w:hint="eastAsia" w:ascii="楷体" w:hAnsi="楷体" w:eastAsia="楷体" w:cs="楷体"/>
                <w:color w:val="auto"/>
                <w:spacing w:val="-1"/>
                <w:sz w:val="21"/>
                <w:szCs w:val="21"/>
              </w:rPr>
              <w:t>等奖或前三名以上</w:t>
            </w:r>
          </w:p>
        </w:tc>
        <w:tc>
          <w:tcPr>
            <w:tcW w:w="1029"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20</w:t>
            </w:r>
          </w:p>
        </w:tc>
        <w:tc>
          <w:tcPr>
            <w:tcW w:w="1243"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14</w:t>
            </w:r>
          </w:p>
        </w:tc>
        <w:tc>
          <w:tcPr>
            <w:tcW w:w="1282"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10</w:t>
            </w:r>
          </w:p>
        </w:tc>
        <w:tc>
          <w:tcPr>
            <w:tcW w:w="890" w:type="dxa"/>
            <w:vAlign w:val="center"/>
          </w:tcPr>
          <w:p>
            <w:pPr>
              <w:widowControl w:val="0"/>
              <w:kinsoku/>
              <w:autoSpaceDN/>
              <w:spacing w:before="7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lang w:val="en-US" w:eastAsia="zh-CN"/>
              </w:rPr>
              <w:t>20</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0"/>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3</w:t>
            </w:r>
          </w:p>
        </w:tc>
        <w:tc>
          <w:tcPr>
            <w:tcW w:w="2528" w:type="dxa"/>
            <w:vAlign w:val="center"/>
          </w:tcPr>
          <w:p>
            <w:pPr>
              <w:widowControl w:val="0"/>
              <w:kinsoku/>
              <w:autoSpaceDN/>
              <w:spacing w:before="30"/>
              <w:jc w:val="center"/>
              <w:rPr>
                <w:rFonts w:hint="default" w:ascii="楷体" w:hAnsi="楷体" w:eastAsia="楷体" w:cs="楷体"/>
                <w:color w:val="auto"/>
                <w:sz w:val="21"/>
                <w:szCs w:val="21"/>
                <w:lang w:val="en-US" w:eastAsia="zh-CN"/>
              </w:rPr>
            </w:pPr>
            <w:r>
              <w:rPr>
                <w:rFonts w:hint="eastAsia" w:ascii="楷体" w:hAnsi="楷体" w:eastAsia="楷体" w:cs="楷体"/>
                <w:color w:val="auto"/>
                <w:spacing w:val="-1"/>
                <w:sz w:val="21"/>
                <w:szCs w:val="21"/>
              </w:rPr>
              <w:t>省级</w:t>
            </w:r>
            <w:r>
              <w:rPr>
                <w:rFonts w:hint="eastAsia" w:ascii="楷体" w:hAnsi="楷体" w:eastAsia="楷体" w:cs="楷体"/>
                <w:color w:val="auto"/>
                <w:spacing w:val="-1"/>
                <w:sz w:val="21"/>
                <w:szCs w:val="21"/>
                <w:lang w:val="en-US" w:eastAsia="zh-CN"/>
              </w:rPr>
              <w:t>二等奖及以下</w:t>
            </w:r>
          </w:p>
          <w:p>
            <w:pPr>
              <w:widowControl w:val="0"/>
              <w:kinsoku/>
              <w:autoSpaceDN/>
              <w:spacing w:before="30"/>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rPr>
              <w:t>校</w:t>
            </w:r>
            <w:r>
              <w:rPr>
                <w:rFonts w:hint="eastAsia" w:ascii="楷体" w:hAnsi="楷体" w:eastAsia="楷体" w:cs="楷体"/>
                <w:color w:val="auto"/>
                <w:sz w:val="21"/>
                <w:szCs w:val="21"/>
                <w:lang w:val="en-US" w:eastAsia="zh-CN"/>
              </w:rPr>
              <w:t>级</w:t>
            </w:r>
            <w:r>
              <w:rPr>
                <w:rFonts w:hint="eastAsia" w:ascii="楷体" w:hAnsi="楷体" w:eastAsia="楷体" w:cs="楷体"/>
                <w:color w:val="auto"/>
                <w:sz w:val="21"/>
                <w:szCs w:val="21"/>
              </w:rPr>
              <w:t>一等奖或前三名以上</w:t>
            </w:r>
          </w:p>
        </w:tc>
        <w:tc>
          <w:tcPr>
            <w:tcW w:w="1029" w:type="dxa"/>
            <w:vAlign w:val="center"/>
          </w:tcPr>
          <w:p>
            <w:pPr>
              <w:widowControl w:val="0"/>
              <w:kinsoku/>
              <w:autoSpaceDN/>
              <w:spacing w:before="71"/>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8</w:t>
            </w:r>
          </w:p>
        </w:tc>
        <w:tc>
          <w:tcPr>
            <w:tcW w:w="1243" w:type="dxa"/>
            <w:vAlign w:val="center"/>
          </w:tcPr>
          <w:p>
            <w:pPr>
              <w:widowControl w:val="0"/>
              <w:kinsoku/>
              <w:autoSpaceDN/>
              <w:spacing w:before="69"/>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6</w:t>
            </w:r>
          </w:p>
        </w:tc>
        <w:tc>
          <w:tcPr>
            <w:tcW w:w="1282" w:type="dxa"/>
            <w:vAlign w:val="center"/>
          </w:tcPr>
          <w:p>
            <w:pPr>
              <w:widowControl w:val="0"/>
              <w:kinsoku/>
              <w:autoSpaceDN/>
              <w:spacing w:before="69"/>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4</w:t>
            </w:r>
          </w:p>
        </w:tc>
        <w:tc>
          <w:tcPr>
            <w:tcW w:w="890" w:type="dxa"/>
            <w:vAlign w:val="center"/>
          </w:tcPr>
          <w:p>
            <w:pPr>
              <w:widowControl w:val="0"/>
              <w:kinsoku/>
              <w:autoSpaceDN/>
              <w:spacing w:before="71"/>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8</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4"/>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4</w:t>
            </w:r>
          </w:p>
        </w:tc>
        <w:tc>
          <w:tcPr>
            <w:tcW w:w="2528" w:type="dxa"/>
            <w:vAlign w:val="center"/>
          </w:tcPr>
          <w:p>
            <w:pPr>
              <w:widowControl w:val="0"/>
              <w:kinsoku/>
              <w:autoSpaceDN/>
              <w:spacing w:before="34"/>
              <w:jc w:val="center"/>
              <w:rPr>
                <w:rFonts w:hint="eastAsia" w:ascii="楷体" w:hAnsi="楷体" w:eastAsia="楷体" w:cs="楷体"/>
                <w:color w:val="auto"/>
                <w:sz w:val="21"/>
                <w:szCs w:val="21"/>
              </w:rPr>
            </w:pPr>
            <w:r>
              <w:rPr>
                <w:rFonts w:hint="eastAsia" w:ascii="楷体" w:hAnsi="楷体" w:eastAsia="楷体" w:cs="楷体"/>
                <w:color w:val="auto"/>
                <w:sz w:val="21"/>
                <w:szCs w:val="21"/>
              </w:rPr>
              <w:t>校级</w:t>
            </w:r>
            <w:r>
              <w:rPr>
                <w:rFonts w:hint="eastAsia" w:ascii="楷体" w:hAnsi="楷体" w:eastAsia="楷体" w:cs="楷体"/>
                <w:color w:val="auto"/>
                <w:spacing w:val="-1"/>
                <w:sz w:val="21"/>
                <w:szCs w:val="21"/>
                <w:lang w:val="en-US" w:eastAsia="zh-CN"/>
              </w:rPr>
              <w:t>二等奖及以下</w:t>
            </w:r>
          </w:p>
          <w:p>
            <w:pPr>
              <w:widowControl w:val="0"/>
              <w:kinsoku/>
              <w:autoSpaceDN/>
              <w:spacing w:before="34"/>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rPr>
              <w:t>学院一等奖或前三名以上</w:t>
            </w:r>
          </w:p>
        </w:tc>
        <w:tc>
          <w:tcPr>
            <w:tcW w:w="1029" w:type="dxa"/>
            <w:vAlign w:val="center"/>
          </w:tcPr>
          <w:p>
            <w:pPr>
              <w:widowControl w:val="0"/>
              <w:kinsoku/>
              <w:autoSpaceDN/>
              <w:spacing w:before="72"/>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4</w:t>
            </w:r>
          </w:p>
        </w:tc>
        <w:tc>
          <w:tcPr>
            <w:tcW w:w="1243"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6"/>
                <w:sz w:val="21"/>
                <w:szCs w:val="21"/>
                <w:lang w:val="en-US" w:eastAsia="zh-CN"/>
              </w:rPr>
              <w:t>3.2</w:t>
            </w:r>
          </w:p>
        </w:tc>
        <w:tc>
          <w:tcPr>
            <w:tcW w:w="1282"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6"/>
                <w:sz w:val="21"/>
                <w:szCs w:val="21"/>
                <w:lang w:val="en-US" w:eastAsia="zh-CN"/>
              </w:rPr>
              <w:t>2.4</w:t>
            </w:r>
          </w:p>
        </w:tc>
        <w:tc>
          <w:tcPr>
            <w:tcW w:w="890" w:type="dxa"/>
            <w:vAlign w:val="center"/>
          </w:tcPr>
          <w:p>
            <w:pPr>
              <w:widowControl w:val="0"/>
              <w:kinsoku/>
              <w:autoSpaceDN/>
              <w:spacing w:before="72"/>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4</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spacing w:before="32"/>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snapToGrid w:val="0"/>
                <w:color w:val="auto"/>
                <w:kern w:val="2"/>
                <w:sz w:val="21"/>
                <w:szCs w:val="21"/>
                <w:lang w:val="en-US" w:eastAsia="zh-CN" w:bidi="ar-SA"/>
              </w:rPr>
              <w:t>5</w:t>
            </w:r>
          </w:p>
        </w:tc>
        <w:tc>
          <w:tcPr>
            <w:tcW w:w="2528" w:type="dxa"/>
            <w:vAlign w:val="center"/>
          </w:tcPr>
          <w:p>
            <w:pPr>
              <w:widowControl w:val="0"/>
              <w:kinsoku/>
              <w:autoSpaceDN/>
              <w:spacing w:before="32"/>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4"/>
                <w:sz w:val="21"/>
                <w:szCs w:val="21"/>
              </w:rPr>
              <w:t>学院</w:t>
            </w:r>
            <w:r>
              <w:rPr>
                <w:rFonts w:hint="eastAsia" w:ascii="楷体" w:hAnsi="楷体" w:eastAsia="楷体" w:cs="楷体"/>
                <w:color w:val="auto"/>
                <w:spacing w:val="-2"/>
                <w:sz w:val="21"/>
                <w:szCs w:val="21"/>
              </w:rPr>
              <w:t>级</w:t>
            </w:r>
            <w:r>
              <w:rPr>
                <w:rFonts w:hint="eastAsia" w:ascii="楷体" w:hAnsi="楷体" w:eastAsia="楷体" w:cs="楷体"/>
                <w:color w:val="auto"/>
                <w:spacing w:val="-1"/>
                <w:sz w:val="21"/>
                <w:szCs w:val="21"/>
                <w:lang w:val="en-US" w:eastAsia="zh-CN"/>
              </w:rPr>
              <w:t>二等奖及以下</w:t>
            </w:r>
          </w:p>
        </w:tc>
        <w:tc>
          <w:tcPr>
            <w:tcW w:w="1029" w:type="dxa"/>
            <w:vAlign w:val="center"/>
          </w:tcPr>
          <w:p>
            <w:pPr>
              <w:widowControl w:val="0"/>
              <w:kinsoku/>
              <w:autoSpaceDN/>
              <w:spacing w:before="74"/>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2</w:t>
            </w:r>
          </w:p>
        </w:tc>
        <w:tc>
          <w:tcPr>
            <w:tcW w:w="1243"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2"/>
                <w:sz w:val="21"/>
                <w:szCs w:val="21"/>
                <w:lang w:val="en-US" w:eastAsia="zh-CN"/>
              </w:rPr>
              <w:t>1.6</w:t>
            </w:r>
          </w:p>
        </w:tc>
        <w:tc>
          <w:tcPr>
            <w:tcW w:w="1282" w:type="dxa"/>
            <w:vAlign w:val="center"/>
          </w:tcPr>
          <w:p>
            <w:pPr>
              <w:widowControl w:val="0"/>
              <w:kinsoku/>
              <w:autoSpaceDN/>
              <w:spacing w:before="73"/>
              <w:jc w:val="center"/>
              <w:rPr>
                <w:rFonts w:hint="default" w:ascii="楷体" w:hAnsi="楷体" w:eastAsia="楷体" w:cs="楷体"/>
                <w:snapToGrid w:val="0"/>
                <w:color w:val="auto"/>
                <w:kern w:val="2"/>
                <w:sz w:val="21"/>
                <w:szCs w:val="21"/>
                <w:lang w:val="en-US" w:eastAsia="zh-CN" w:bidi="ar-SA"/>
              </w:rPr>
            </w:pPr>
            <w:r>
              <w:rPr>
                <w:rFonts w:hint="eastAsia" w:ascii="楷体" w:hAnsi="楷体" w:eastAsia="楷体" w:cs="楷体"/>
                <w:color w:val="auto"/>
                <w:spacing w:val="-2"/>
                <w:sz w:val="21"/>
                <w:szCs w:val="21"/>
                <w:lang w:val="en-US" w:eastAsia="zh-CN"/>
              </w:rPr>
              <w:t>1.2</w:t>
            </w:r>
          </w:p>
        </w:tc>
        <w:tc>
          <w:tcPr>
            <w:tcW w:w="890" w:type="dxa"/>
            <w:vAlign w:val="center"/>
          </w:tcPr>
          <w:p>
            <w:pPr>
              <w:widowControl w:val="0"/>
              <w:kinsoku/>
              <w:autoSpaceDN/>
              <w:spacing w:before="74"/>
              <w:jc w:val="center"/>
              <w:rPr>
                <w:rFonts w:hint="eastAsia" w:ascii="楷体" w:hAnsi="楷体" w:eastAsia="楷体" w:cs="楷体"/>
                <w:snapToGrid w:val="0"/>
                <w:color w:val="auto"/>
                <w:kern w:val="2"/>
                <w:sz w:val="21"/>
                <w:szCs w:val="21"/>
                <w:lang w:val="en-US" w:eastAsia="zh-CN" w:bidi="ar-SA"/>
              </w:rPr>
            </w:pPr>
            <w:r>
              <w:rPr>
                <w:rFonts w:hint="eastAsia" w:ascii="楷体" w:hAnsi="楷体" w:eastAsia="楷体" w:cs="楷体"/>
                <w:color w:val="auto"/>
                <w:sz w:val="21"/>
                <w:szCs w:val="21"/>
                <w:lang w:val="en-US" w:eastAsia="zh-CN"/>
              </w:rPr>
              <w:t>2</w:t>
            </w:r>
          </w:p>
        </w:tc>
        <w:tc>
          <w:tcPr>
            <w:tcW w:w="7016" w:type="dxa"/>
            <w:vMerge w:val="continue"/>
            <w:vAlign w:val="center"/>
          </w:tcPr>
          <w:p>
            <w:pPr>
              <w:widowControl w:val="0"/>
              <w:kinsoku/>
              <w:autoSpaceDN/>
              <w:jc w:val="both"/>
              <w:rPr>
                <w:rFonts w:hint="eastAsia" w:ascii="楷体" w:hAnsi="楷体" w:eastAsia="楷体" w:cs="楷体"/>
                <w:color w:val="auto"/>
                <w:spacing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758" w:type="dxa"/>
            <w:vMerge w:val="restart"/>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荣誉</w:t>
            </w:r>
          </w:p>
        </w:tc>
        <w:tc>
          <w:tcPr>
            <w:tcW w:w="658" w:type="dxa"/>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6</w:t>
            </w:r>
          </w:p>
        </w:tc>
        <w:tc>
          <w:tcPr>
            <w:tcW w:w="2528"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rPr>
              <w:t>国家级</w:t>
            </w:r>
          </w:p>
        </w:tc>
        <w:tc>
          <w:tcPr>
            <w:tcW w:w="1029"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40</w:t>
            </w:r>
          </w:p>
        </w:tc>
        <w:tc>
          <w:tcPr>
            <w:tcW w:w="1243" w:type="dxa"/>
            <w:vAlign w:val="center"/>
          </w:tcPr>
          <w:p>
            <w:pPr>
              <w:widowControl w:val="0"/>
              <w:kinsoku/>
              <w:autoSpaceDN/>
              <w:jc w:val="center"/>
              <w:rPr>
                <w:rFonts w:hint="default"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lang w:val="en-US" w:eastAsia="zh-CN"/>
              </w:rPr>
              <w:t>24</w:t>
            </w:r>
          </w:p>
        </w:tc>
        <w:tc>
          <w:tcPr>
            <w:tcW w:w="1282"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0</w:t>
            </w:r>
          </w:p>
        </w:tc>
        <w:tc>
          <w:tcPr>
            <w:tcW w:w="890"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40</w:t>
            </w:r>
          </w:p>
        </w:tc>
        <w:tc>
          <w:tcPr>
            <w:tcW w:w="7016" w:type="dxa"/>
            <w:vMerge w:val="restart"/>
            <w:vAlign w:val="center"/>
          </w:tcPr>
          <w:p>
            <w:pPr>
              <w:widowControl w:val="0"/>
              <w:numPr>
                <w:ilvl w:val="0"/>
                <w:numId w:val="6"/>
              </w:numPr>
              <w:kinsoku/>
              <w:autoSpaceDN/>
              <w:jc w:val="both"/>
              <w:rPr>
                <w:rFonts w:hint="eastAsia" w:ascii="楷体" w:hAnsi="楷体" w:eastAsia="楷体" w:cs="楷体"/>
                <w:color w:val="auto"/>
                <w:spacing w:val="-4"/>
                <w:sz w:val="21"/>
                <w:szCs w:val="21"/>
              </w:rPr>
            </w:pPr>
            <w:r>
              <w:rPr>
                <w:rFonts w:hint="eastAsia" w:ascii="楷体" w:hAnsi="楷体" w:eastAsia="楷体" w:cs="楷体"/>
                <w:color w:val="auto"/>
                <w:spacing w:val="-4"/>
                <w:sz w:val="21"/>
                <w:szCs w:val="21"/>
              </w:rPr>
              <w:t>国家级、省级荣誉包括大学生年度人物、两红两优、先进班集体、省三好/优干、样板党支部等竞争性、综合性荣誉表彰或其他经学办认定的荣誉称号；</w:t>
            </w:r>
          </w:p>
          <w:p>
            <w:pPr>
              <w:widowControl w:val="0"/>
              <w:numPr>
                <w:ilvl w:val="0"/>
                <w:numId w:val="6"/>
              </w:numPr>
              <w:kinsoku/>
              <w:autoSpaceDN/>
              <w:jc w:val="both"/>
              <w:rPr>
                <w:rFonts w:hint="eastAsia" w:ascii="楷体" w:hAnsi="楷体" w:eastAsia="楷体" w:cs="楷体"/>
                <w:color w:val="auto"/>
                <w:spacing w:val="-4"/>
                <w:sz w:val="21"/>
                <w:szCs w:val="21"/>
              </w:rPr>
            </w:pPr>
            <w:r>
              <w:rPr>
                <w:rFonts w:hint="eastAsia" w:ascii="楷体" w:hAnsi="楷体" w:eastAsia="楷体" w:cs="楷体"/>
                <w:color w:val="auto"/>
                <w:spacing w:val="-4"/>
                <w:sz w:val="21"/>
                <w:szCs w:val="21"/>
              </w:rPr>
              <w:t>校级荣誉包括最具影响力本科生、优秀志愿者(综合性)、先进班集体、十佳党支部、国旗团支部(含提名、入围)等竞争性、综合性荣誉或其他影响力相当的荣誉称号；</w:t>
            </w:r>
          </w:p>
          <w:p>
            <w:pPr>
              <w:widowControl w:val="0"/>
              <w:numPr>
                <w:ilvl w:val="0"/>
                <w:numId w:val="6"/>
              </w:numPr>
              <w:kinsoku/>
              <w:autoSpaceDN/>
              <w:jc w:val="both"/>
              <w:rPr>
                <w:rFonts w:hint="eastAsia" w:ascii="楷体" w:hAnsi="楷体" w:eastAsia="楷体" w:cs="楷体"/>
                <w:color w:val="auto"/>
                <w:spacing w:val="-4"/>
                <w:sz w:val="21"/>
                <w:szCs w:val="21"/>
              </w:rPr>
            </w:pPr>
            <w:r>
              <w:rPr>
                <w:rFonts w:hint="eastAsia" w:ascii="楷体" w:hAnsi="楷体" w:eastAsia="楷体" w:cs="楷体"/>
                <w:color w:val="auto"/>
                <w:spacing w:val="-4"/>
                <w:sz w:val="21"/>
                <w:szCs w:val="21"/>
              </w:rPr>
              <w:t>集体荣誉指由学院内学生集体获得， 不包括院外学生社团或集体；</w:t>
            </w:r>
          </w:p>
          <w:p>
            <w:pPr>
              <w:widowControl w:val="0"/>
              <w:numPr>
                <w:ilvl w:val="0"/>
                <w:numId w:val="6"/>
              </w:numPr>
              <w:kinsoku/>
              <w:autoSpaceDN/>
              <w:jc w:val="both"/>
              <w:rPr>
                <w:rFonts w:hint="eastAsia" w:ascii="楷体" w:hAnsi="楷体" w:eastAsia="楷体" w:cs="楷体"/>
                <w:color w:val="auto"/>
                <w:spacing w:val="-3"/>
                <w:sz w:val="21"/>
                <w:szCs w:val="21"/>
              </w:rPr>
            </w:pPr>
            <w:r>
              <w:rPr>
                <w:rFonts w:hint="eastAsia" w:ascii="楷体" w:hAnsi="楷体" w:eastAsia="楷体" w:cs="楷体"/>
                <w:color w:val="auto"/>
                <w:spacing w:val="-4"/>
                <w:sz w:val="21"/>
                <w:szCs w:val="21"/>
              </w:rPr>
              <w:t>集体荣誉中，负责人指班长、团支书、党支书、学生会成员、崇文工作站负责人等；</w:t>
            </w:r>
            <w:r>
              <w:rPr>
                <w:rFonts w:hint="eastAsia" w:ascii="楷体" w:hAnsi="楷体" w:eastAsia="楷体" w:cs="楷体"/>
                <w:color w:val="auto"/>
                <w:spacing w:val="-4"/>
                <w:sz w:val="21"/>
                <w:szCs w:val="21"/>
                <w:lang w:val="en-US" w:eastAsia="zh-CN"/>
              </w:rPr>
              <w:t>主要参与人</w:t>
            </w:r>
            <w:r>
              <w:rPr>
                <w:rFonts w:hint="eastAsia" w:ascii="楷体" w:hAnsi="楷体" w:eastAsia="楷体" w:cs="楷体"/>
                <w:color w:val="auto"/>
                <w:spacing w:val="-4"/>
                <w:sz w:val="21"/>
                <w:szCs w:val="21"/>
              </w:rPr>
              <w:t>指班委、支委、学生会部门负责人等，至多5人；</w:t>
            </w:r>
          </w:p>
          <w:p>
            <w:pPr>
              <w:widowControl w:val="0"/>
              <w:numPr>
                <w:ilvl w:val="0"/>
                <w:numId w:val="6"/>
              </w:numPr>
              <w:kinsoku/>
              <w:autoSpaceDN/>
              <w:jc w:val="both"/>
              <w:rPr>
                <w:rFonts w:hint="eastAsia" w:ascii="楷体" w:hAnsi="楷体" w:eastAsia="楷体" w:cs="楷体"/>
                <w:color w:val="auto"/>
                <w:spacing w:val="-3"/>
                <w:sz w:val="21"/>
                <w:szCs w:val="21"/>
              </w:rPr>
            </w:pPr>
            <w:r>
              <w:rPr>
                <w:rFonts w:hint="eastAsia" w:ascii="楷体" w:hAnsi="楷体" w:eastAsia="楷体" w:cs="楷体"/>
                <w:color w:val="auto"/>
                <w:spacing w:val="2"/>
                <w:sz w:val="21"/>
                <w:szCs w:val="21"/>
              </w:rPr>
              <w:t>各类荣誉如仅通过院内评审而未参与外部竞争，如</w:t>
            </w:r>
            <w:r>
              <w:rPr>
                <w:rFonts w:hint="eastAsia" w:ascii="楷体" w:hAnsi="楷体" w:eastAsia="楷体" w:cs="楷体"/>
                <w:color w:val="auto"/>
                <w:spacing w:val="1"/>
                <w:sz w:val="21"/>
                <w:szCs w:val="21"/>
              </w:rPr>
              <w:t>三好、优干、优秀团员、优秀党员等，不计算积分；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7</w:t>
            </w:r>
          </w:p>
        </w:tc>
        <w:tc>
          <w:tcPr>
            <w:tcW w:w="2528"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rPr>
              <w:t>省级</w:t>
            </w:r>
          </w:p>
        </w:tc>
        <w:tc>
          <w:tcPr>
            <w:tcW w:w="1029"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20</w:t>
            </w:r>
          </w:p>
        </w:tc>
        <w:tc>
          <w:tcPr>
            <w:tcW w:w="1243" w:type="dxa"/>
            <w:vAlign w:val="center"/>
          </w:tcPr>
          <w:p>
            <w:pPr>
              <w:widowControl w:val="0"/>
              <w:kinsoku/>
              <w:autoSpaceDN/>
              <w:jc w:val="center"/>
              <w:rPr>
                <w:rFonts w:hint="default"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lang w:val="en-US" w:eastAsia="zh-CN"/>
              </w:rPr>
              <w:t>12</w:t>
            </w:r>
          </w:p>
        </w:tc>
        <w:tc>
          <w:tcPr>
            <w:tcW w:w="1282"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0</w:t>
            </w:r>
          </w:p>
        </w:tc>
        <w:tc>
          <w:tcPr>
            <w:tcW w:w="890" w:type="dxa"/>
            <w:vAlign w:val="center"/>
          </w:tcPr>
          <w:p>
            <w:pPr>
              <w:widowControl w:val="0"/>
              <w:kinsoku/>
              <w:autoSpaceDN/>
              <w:jc w:val="center"/>
              <w:rPr>
                <w:rFonts w:hint="default"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20</w:t>
            </w:r>
          </w:p>
        </w:tc>
        <w:tc>
          <w:tcPr>
            <w:tcW w:w="7016" w:type="dxa"/>
            <w:vMerge w:val="continue"/>
            <w:vAlign w:val="center"/>
          </w:tcPr>
          <w:p>
            <w:pPr>
              <w:widowControl w:val="0"/>
              <w:kinsoku/>
              <w:autoSpaceDN/>
              <w:spacing w:before="66"/>
              <w:ind w:left="535"/>
              <w:jc w:val="center"/>
              <w:rPr>
                <w:rFonts w:hint="eastAsia" w:ascii="楷体" w:hAnsi="楷体" w:eastAsia="楷体" w:cs="楷体"/>
                <w:color w:val="auto"/>
                <w:spacing w:val="-4"/>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758" w:type="dxa"/>
            <w:vMerge w:val="continue"/>
            <w:vAlign w:val="center"/>
          </w:tcPr>
          <w:p>
            <w:pPr>
              <w:widowControl w:val="0"/>
              <w:kinsoku/>
              <w:autoSpaceDN/>
              <w:jc w:val="center"/>
              <w:rPr>
                <w:rFonts w:hint="eastAsia" w:ascii="楷体" w:hAnsi="楷体" w:eastAsia="楷体" w:cs="楷体"/>
                <w:color w:val="auto"/>
                <w:spacing w:val="-2"/>
                <w:sz w:val="21"/>
                <w:szCs w:val="21"/>
              </w:rPr>
            </w:pPr>
          </w:p>
        </w:tc>
        <w:tc>
          <w:tcPr>
            <w:tcW w:w="658" w:type="dxa"/>
            <w:vAlign w:val="center"/>
          </w:tcPr>
          <w:p>
            <w:pPr>
              <w:widowControl w:val="0"/>
              <w:kinsoku/>
              <w:autoSpaceDN/>
              <w:jc w:val="center"/>
              <w:rPr>
                <w:rFonts w:hint="eastAsia" w:ascii="楷体" w:hAnsi="楷体" w:eastAsia="楷体" w:cs="楷体"/>
                <w:color w:val="auto"/>
                <w:spacing w:val="-2"/>
                <w:sz w:val="21"/>
                <w:szCs w:val="21"/>
                <w:lang w:val="en-US" w:eastAsia="zh-CN"/>
              </w:rPr>
            </w:pPr>
            <w:r>
              <w:rPr>
                <w:rFonts w:hint="eastAsia" w:ascii="楷体" w:hAnsi="楷体" w:eastAsia="楷体" w:cs="楷体"/>
                <w:color w:val="auto"/>
                <w:spacing w:val="-2"/>
                <w:sz w:val="21"/>
                <w:szCs w:val="21"/>
                <w:lang w:val="en-US" w:eastAsia="zh-CN"/>
              </w:rPr>
              <w:t>8</w:t>
            </w:r>
          </w:p>
        </w:tc>
        <w:tc>
          <w:tcPr>
            <w:tcW w:w="2528"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rPr>
              <w:t>校级</w:t>
            </w:r>
          </w:p>
        </w:tc>
        <w:tc>
          <w:tcPr>
            <w:tcW w:w="1029"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8</w:t>
            </w:r>
          </w:p>
        </w:tc>
        <w:tc>
          <w:tcPr>
            <w:tcW w:w="1243" w:type="dxa"/>
            <w:vAlign w:val="center"/>
          </w:tcPr>
          <w:p>
            <w:pPr>
              <w:widowControl w:val="0"/>
              <w:kinsoku/>
              <w:autoSpaceDN/>
              <w:jc w:val="center"/>
              <w:rPr>
                <w:rFonts w:hint="eastAsia" w:ascii="楷体" w:hAnsi="楷体" w:eastAsia="楷体" w:cs="楷体"/>
                <w:snapToGrid w:val="0"/>
                <w:color w:val="auto"/>
                <w:spacing w:val="-2"/>
                <w:kern w:val="2"/>
                <w:sz w:val="21"/>
                <w:szCs w:val="21"/>
                <w:lang w:val="en-US" w:eastAsia="zh-CN" w:bidi="ar-SA"/>
              </w:rPr>
            </w:pPr>
            <w:r>
              <w:rPr>
                <w:rFonts w:hint="eastAsia" w:ascii="楷体" w:hAnsi="楷体" w:eastAsia="楷体" w:cs="楷体"/>
                <w:color w:val="auto"/>
                <w:spacing w:val="-2"/>
                <w:sz w:val="21"/>
                <w:szCs w:val="21"/>
                <w:lang w:val="en-US" w:eastAsia="zh-CN"/>
              </w:rPr>
              <w:t>4</w:t>
            </w:r>
          </w:p>
        </w:tc>
        <w:tc>
          <w:tcPr>
            <w:tcW w:w="1282"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0</w:t>
            </w:r>
          </w:p>
        </w:tc>
        <w:tc>
          <w:tcPr>
            <w:tcW w:w="890" w:type="dxa"/>
            <w:vAlign w:val="center"/>
          </w:tcPr>
          <w:p>
            <w:pPr>
              <w:widowControl w:val="0"/>
              <w:kinsoku/>
              <w:autoSpaceDN/>
              <w:jc w:val="center"/>
              <w:rPr>
                <w:rFonts w:hint="eastAsia" w:ascii="楷体" w:hAnsi="楷体" w:eastAsia="楷体" w:cs="楷体"/>
                <w:color w:val="auto"/>
                <w:spacing w:val="-2"/>
                <w:sz w:val="21"/>
                <w:szCs w:val="21"/>
                <w:lang w:eastAsia="zh-CN"/>
              </w:rPr>
            </w:pPr>
            <w:r>
              <w:rPr>
                <w:rFonts w:hint="eastAsia" w:ascii="楷体" w:hAnsi="楷体" w:eastAsia="楷体" w:cs="楷体"/>
                <w:color w:val="auto"/>
                <w:spacing w:val="-2"/>
                <w:sz w:val="21"/>
                <w:szCs w:val="21"/>
                <w:lang w:val="en-US" w:eastAsia="zh-CN"/>
              </w:rPr>
              <w:t>8</w:t>
            </w:r>
          </w:p>
        </w:tc>
        <w:tc>
          <w:tcPr>
            <w:tcW w:w="7016" w:type="dxa"/>
            <w:vMerge w:val="continue"/>
            <w:vAlign w:val="center"/>
          </w:tcPr>
          <w:p>
            <w:pPr>
              <w:widowControl w:val="0"/>
              <w:kinsoku/>
              <w:autoSpaceDN/>
              <w:spacing w:before="67"/>
              <w:ind w:left="578"/>
              <w:jc w:val="center"/>
              <w:rPr>
                <w:rFonts w:hint="eastAsia" w:ascii="楷体" w:hAnsi="楷体" w:eastAsia="楷体" w:cs="楷体"/>
                <w:color w:val="auto"/>
                <w:sz w:val="21"/>
                <w:szCs w:val="21"/>
              </w:rPr>
            </w:pPr>
          </w:p>
        </w:tc>
      </w:tr>
    </w:tbl>
    <w:p>
      <w:pPr>
        <w:widowControl w:val="0"/>
        <w:kinsoku/>
        <w:autoSpaceDN/>
        <w:ind w:right="49"/>
        <w:rPr>
          <w:rFonts w:hint="eastAsia" w:ascii="楷体" w:hAnsi="楷体" w:eastAsia="楷体" w:cs="楷体"/>
          <w:color w:val="auto"/>
          <w:spacing w:val="2"/>
        </w:rPr>
      </w:pPr>
    </w:p>
    <w:p>
      <w:pPr>
        <w:widowControl w:val="0"/>
        <w:kinsoku/>
        <w:autoSpaceDN/>
        <w:ind w:right="49"/>
        <w:rPr>
          <w:rFonts w:ascii="楷体" w:hAnsi="楷体" w:eastAsia="楷体" w:cs="楷体"/>
          <w:color w:val="auto"/>
          <w:spacing w:val="2"/>
        </w:rPr>
      </w:pPr>
      <w:r>
        <w:rPr>
          <w:rFonts w:hint="eastAsia" w:ascii="楷体" w:hAnsi="楷体" w:eastAsia="楷体" w:cs="楷体"/>
          <w:color w:val="auto"/>
          <w:spacing w:val="2"/>
        </w:rPr>
        <w:t>注：</w:t>
      </w:r>
    </w:p>
    <w:p>
      <w:pPr>
        <w:widowControl w:val="0"/>
        <w:numPr>
          <w:ilvl w:val="0"/>
          <w:numId w:val="7"/>
        </w:numPr>
        <w:kinsoku/>
        <w:autoSpaceDN/>
        <w:ind w:right="49"/>
        <w:rPr>
          <w:rFonts w:ascii="楷体" w:hAnsi="楷体" w:eastAsia="楷体" w:cs="楷体"/>
          <w:color w:val="auto"/>
          <w:spacing w:val="3"/>
        </w:rPr>
      </w:pPr>
      <w:r>
        <w:rPr>
          <w:rFonts w:hint="eastAsia" w:ascii="楷体" w:hAnsi="楷体" w:eastAsia="楷体" w:cs="楷体"/>
          <w:color w:val="auto"/>
          <w:spacing w:val="2"/>
        </w:rPr>
        <w:t>同一内容计分按最高级别计，不重复累加；如周期跨两次奖励申请区间，则需扣除之前的有效申</w:t>
      </w:r>
      <w:r>
        <w:rPr>
          <w:rFonts w:hint="eastAsia" w:ascii="楷体" w:hAnsi="楷体" w:eastAsia="楷体" w:cs="楷体"/>
          <w:color w:val="auto"/>
          <w:spacing w:val="1"/>
        </w:rPr>
        <w:t>请得分；</w:t>
      </w:r>
      <w:r>
        <w:rPr>
          <w:rFonts w:hint="eastAsia" w:ascii="楷体" w:hAnsi="楷体" w:eastAsia="楷体" w:cs="楷体"/>
          <w:color w:val="auto"/>
          <w:spacing w:val="2"/>
          <w:lang w:val="en-US" w:eastAsia="zh-CN"/>
        </w:rPr>
        <w:t>参与社会活动获得荣誉及奖励积分</w:t>
      </w:r>
      <w:r>
        <w:rPr>
          <w:rFonts w:hint="eastAsia" w:ascii="楷体" w:hAnsi="楷体" w:eastAsia="楷体" w:cs="楷体"/>
          <w:color w:val="auto"/>
          <w:spacing w:val="2"/>
        </w:rPr>
        <w:t>一</w:t>
      </w:r>
      <w:r>
        <w:rPr>
          <w:rFonts w:hint="eastAsia" w:ascii="楷体" w:hAnsi="楷体" w:eastAsia="楷体" w:cs="楷体"/>
          <w:color w:val="auto"/>
          <w:spacing w:val="1"/>
        </w:rPr>
        <w:t>年不超过</w:t>
      </w:r>
      <w:r>
        <w:rPr>
          <w:rFonts w:hint="eastAsia" w:ascii="楷体" w:hAnsi="楷体" w:eastAsia="楷体" w:cs="楷体"/>
          <w:color w:val="auto"/>
          <w:spacing w:val="1"/>
          <w:lang w:val="en-US" w:eastAsia="zh-CN"/>
        </w:rPr>
        <w:t>40</w:t>
      </w:r>
      <w:r>
        <w:rPr>
          <w:rFonts w:hint="eastAsia" w:ascii="楷体" w:hAnsi="楷体" w:eastAsia="楷体" w:cs="楷体"/>
          <w:color w:val="auto"/>
          <w:spacing w:val="2"/>
        </w:rPr>
        <w:t>分；社会活动及获得荣誉</w:t>
      </w:r>
      <w:r>
        <w:rPr>
          <w:rFonts w:hint="eastAsia" w:ascii="楷体" w:hAnsi="楷体" w:eastAsia="楷体" w:cs="楷体"/>
          <w:color w:val="auto"/>
          <w:spacing w:val="2"/>
          <w:lang w:val="en-US" w:eastAsia="zh-CN"/>
        </w:rPr>
        <w:t>与奖励</w:t>
      </w:r>
      <w:r>
        <w:rPr>
          <w:rFonts w:hint="eastAsia" w:ascii="楷体" w:hAnsi="楷体" w:eastAsia="楷体" w:cs="楷体"/>
          <w:color w:val="auto"/>
          <w:spacing w:val="2"/>
        </w:rPr>
        <w:t>计分总分一年最高不超</w:t>
      </w:r>
      <w:r>
        <w:rPr>
          <w:rFonts w:hint="eastAsia" w:ascii="楷体" w:hAnsi="楷体" w:eastAsia="楷体" w:cs="楷体"/>
          <w:color w:val="auto"/>
          <w:spacing w:val="-2"/>
        </w:rPr>
        <w:t>过</w:t>
      </w:r>
      <w:r>
        <w:rPr>
          <w:rFonts w:hint="eastAsia" w:ascii="楷体" w:hAnsi="楷体" w:eastAsia="楷体" w:cs="楷体"/>
          <w:color w:val="auto"/>
          <w:spacing w:val="-2"/>
          <w:lang w:val="en-US" w:eastAsia="zh-CN"/>
        </w:rPr>
        <w:t>60</w:t>
      </w:r>
      <w:r>
        <w:rPr>
          <w:rFonts w:hint="eastAsia" w:ascii="楷体" w:hAnsi="楷体" w:eastAsia="楷体" w:cs="楷体"/>
          <w:color w:val="auto"/>
          <w:spacing w:val="-2"/>
        </w:rPr>
        <w:t>分。</w:t>
      </w:r>
    </w:p>
    <w:p>
      <w:pPr>
        <w:widowControl w:val="0"/>
        <w:numPr>
          <w:ilvl w:val="0"/>
          <w:numId w:val="7"/>
        </w:numPr>
        <w:kinsoku/>
        <w:autoSpaceDN/>
        <w:ind w:right="49"/>
        <w:rPr>
          <w:rFonts w:ascii="楷体" w:hAnsi="楷体" w:eastAsia="楷体" w:cs="楷体"/>
          <w:color w:val="auto"/>
        </w:rPr>
      </w:pPr>
      <w:r>
        <w:rPr>
          <w:rFonts w:hint="eastAsia" w:ascii="楷体" w:hAnsi="楷体" w:eastAsia="楷体" w:cs="楷体"/>
          <w:color w:val="auto"/>
          <w:spacing w:val="6"/>
        </w:rPr>
        <w:t>参与或组织由</w:t>
      </w:r>
      <w:r>
        <w:rPr>
          <w:rFonts w:hint="eastAsia" w:ascii="楷体" w:hAnsi="楷体" w:eastAsia="楷体" w:cs="楷体"/>
          <w:color w:val="auto"/>
          <w:spacing w:val="3"/>
        </w:rPr>
        <w:t>院学办事先认可的学校、学院、学生社团的重大活动，根据参与程度和工作量，积分可以上浮但最高不超过一倍。</w:t>
      </w:r>
    </w:p>
    <w:p>
      <w:pPr>
        <w:widowControl w:val="0"/>
        <w:numPr>
          <w:ilvl w:val="0"/>
          <w:numId w:val="7"/>
        </w:numPr>
        <w:kinsoku/>
        <w:autoSpaceDN/>
        <w:ind w:right="49"/>
        <w:rPr>
          <w:rFonts w:ascii="楷体" w:hAnsi="楷体" w:eastAsia="楷体" w:cs="楷体"/>
          <w:color w:val="auto"/>
        </w:rPr>
      </w:pPr>
      <w:r>
        <w:rPr>
          <w:rFonts w:hint="eastAsia" w:ascii="楷体" w:hAnsi="楷体" w:eastAsia="楷体" w:cs="楷体"/>
          <w:color w:val="auto"/>
          <w:spacing w:val="2"/>
        </w:rPr>
        <w:t>未涉及的活动、奖项、荣誉称号需由院学办会同评委会根据实际情况讨论认定。</w:t>
      </w:r>
    </w:p>
    <w:p>
      <w:pPr>
        <w:rPr>
          <w:rFonts w:ascii="楷体" w:hAnsi="楷体" w:eastAsia="楷体" w:cs="楷体"/>
          <w:color w:val="auto"/>
        </w:rPr>
      </w:pPr>
      <w:r>
        <w:rPr>
          <w:rFonts w:hint="eastAsia" w:ascii="楷体" w:hAnsi="楷体" w:eastAsia="楷体" w:cs="楷体"/>
          <w:color w:val="auto"/>
          <w:spacing w:val="2"/>
        </w:rPr>
        <w:br w:type="page"/>
      </w:r>
    </w:p>
    <w:p>
      <w:pPr>
        <w:widowControl w:val="0"/>
        <w:numPr>
          <w:ilvl w:val="0"/>
          <w:numId w:val="2"/>
        </w:numPr>
        <w:kinsoku/>
        <w:autoSpaceDN/>
        <w:spacing w:before="30" w:line="560" w:lineRule="exact"/>
        <w:ind w:left="9"/>
        <w:outlineLvl w:val="6"/>
        <w:rPr>
          <w:rFonts w:ascii="宋体" w:hAnsi="宋体" w:eastAsia="宋体" w:cs="宋体"/>
          <w:color w:val="auto"/>
          <w:spacing w:val="-1"/>
          <w:sz w:val="24"/>
          <w:szCs w:val="24"/>
        </w:rPr>
      </w:pPr>
      <w:r>
        <w:rPr>
          <w:rFonts w:hint="eastAsia" w:ascii="宋体" w:hAnsi="宋体" w:eastAsia="宋体" w:cs="宋体"/>
          <w:color w:val="auto"/>
          <w:spacing w:val="-1"/>
          <w:sz w:val="24"/>
          <w:szCs w:val="24"/>
        </w:rPr>
        <w:t>学生工作任职计分</w:t>
      </w:r>
      <w:r>
        <w:rPr>
          <w:rFonts w:hint="eastAsia" w:ascii="仿宋" w:hAnsi="仿宋" w:eastAsia="仿宋" w:cs="仿宋"/>
          <w:bCs/>
          <w:color w:val="FF0000"/>
        </w:rPr>
        <w:t>（最高不超过</w:t>
      </w:r>
      <w:r>
        <w:rPr>
          <w:rFonts w:hint="eastAsia" w:ascii="仿宋" w:hAnsi="仿宋" w:eastAsia="仿宋" w:cs="仿宋"/>
          <w:bCs/>
          <w:color w:val="FF0000"/>
          <w:lang w:val="en-US" w:eastAsia="zh-CN"/>
        </w:rPr>
        <w:t>40</w:t>
      </w:r>
      <w:r>
        <w:rPr>
          <w:rFonts w:hint="eastAsia" w:ascii="仿宋" w:hAnsi="仿宋" w:eastAsia="仿宋" w:cs="仿宋"/>
          <w:bCs/>
          <w:color w:val="FF0000"/>
        </w:rPr>
        <w:t>分）</w:t>
      </w:r>
    </w:p>
    <w:p>
      <w:pPr>
        <w:widowControl w:val="0"/>
        <w:kinsoku/>
        <w:autoSpaceDN/>
        <w:spacing w:before="22"/>
        <w:rPr>
          <w:rFonts w:ascii="宋体" w:hAnsi="宋体" w:eastAsia="宋体" w:cs="宋体"/>
          <w:color w:val="auto"/>
          <w:sz w:val="24"/>
          <w:szCs w:val="24"/>
        </w:rPr>
      </w:pPr>
      <w:r>
        <w:rPr>
          <w:rFonts w:hint="eastAsia" w:ascii="宋体" w:hAnsi="宋体" w:eastAsia="宋体" w:cs="宋体"/>
          <w:color w:val="auto"/>
          <w:spacing w:val="-3"/>
          <w:sz w:val="24"/>
          <w:szCs w:val="24"/>
        </w:rPr>
        <w:t>(1)校学生会、学生团体联合会主席团成员计</w:t>
      </w:r>
      <w:r>
        <w:rPr>
          <w:rFonts w:hint="eastAsia" w:ascii="宋体" w:hAnsi="宋体" w:eastAsia="宋体" w:cs="宋体"/>
          <w:color w:val="auto"/>
          <w:spacing w:val="-3"/>
          <w:sz w:val="24"/>
          <w:szCs w:val="24"/>
          <w:lang w:val="en-US" w:eastAsia="zh-CN"/>
        </w:rPr>
        <w:t>28</w:t>
      </w:r>
      <w:r>
        <w:rPr>
          <w:rFonts w:hint="eastAsia" w:ascii="宋体" w:hAnsi="宋体" w:eastAsia="宋体" w:cs="宋体"/>
          <w:color w:val="auto"/>
          <w:spacing w:val="-3"/>
          <w:sz w:val="24"/>
          <w:szCs w:val="24"/>
        </w:rPr>
        <w:t>分，部门主要负责人计</w:t>
      </w:r>
      <w:r>
        <w:rPr>
          <w:rFonts w:hint="eastAsia" w:ascii="宋体" w:hAnsi="宋体" w:eastAsia="宋体" w:cs="宋体"/>
          <w:color w:val="auto"/>
          <w:spacing w:val="-3"/>
          <w:sz w:val="24"/>
          <w:szCs w:val="24"/>
          <w:lang w:val="en-US" w:eastAsia="zh-CN"/>
        </w:rPr>
        <w:t>20</w:t>
      </w:r>
      <w:r>
        <w:rPr>
          <w:rFonts w:hint="eastAsia" w:ascii="宋体" w:hAnsi="宋体" w:eastAsia="宋体" w:cs="宋体"/>
          <w:color w:val="auto"/>
          <w:spacing w:val="-3"/>
          <w:sz w:val="24"/>
          <w:szCs w:val="24"/>
        </w:rPr>
        <w:t>分，其他负责人计</w:t>
      </w:r>
      <w:r>
        <w:rPr>
          <w:rFonts w:hint="eastAsia" w:ascii="宋体" w:hAnsi="宋体" w:eastAsia="宋体" w:cs="宋体"/>
          <w:color w:val="auto"/>
          <w:spacing w:val="-3"/>
          <w:sz w:val="24"/>
          <w:szCs w:val="24"/>
          <w:lang w:val="en-US" w:eastAsia="zh-CN"/>
        </w:rPr>
        <w:t>12</w:t>
      </w:r>
      <w:r>
        <w:rPr>
          <w:rFonts w:hint="eastAsia" w:ascii="宋体" w:hAnsi="宋体" w:eastAsia="宋体" w:cs="宋体"/>
          <w:color w:val="auto"/>
          <w:spacing w:val="-3"/>
          <w:sz w:val="24"/>
          <w:szCs w:val="24"/>
        </w:rPr>
        <w:t>分，工作人员计</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widowControl w:val="0"/>
        <w:kinsoku/>
        <w:autoSpaceDN/>
        <w:spacing w:before="20"/>
        <w:rPr>
          <w:rFonts w:ascii="宋体" w:hAnsi="宋体" w:eastAsia="宋体" w:cs="宋体"/>
          <w:color w:val="auto"/>
          <w:sz w:val="24"/>
          <w:szCs w:val="24"/>
        </w:rPr>
      </w:pPr>
      <w:r>
        <w:rPr>
          <w:rFonts w:hint="eastAsia" w:ascii="宋体" w:hAnsi="宋体" w:eastAsia="宋体" w:cs="宋体"/>
          <w:color w:val="auto"/>
          <w:spacing w:val="14"/>
          <w:sz w:val="24"/>
          <w:szCs w:val="24"/>
        </w:rPr>
        <w:t>(2)</w:t>
      </w:r>
      <w:r>
        <w:rPr>
          <w:rFonts w:hint="eastAsia" w:ascii="宋体" w:hAnsi="宋体" w:eastAsia="宋体" w:cs="宋体"/>
          <w:color w:val="auto"/>
          <w:spacing w:val="7"/>
          <w:sz w:val="24"/>
          <w:szCs w:val="24"/>
        </w:rPr>
        <w:t>院团委副书记(学生)计</w:t>
      </w:r>
      <w:r>
        <w:rPr>
          <w:rFonts w:hint="eastAsia" w:ascii="宋体" w:hAnsi="宋体" w:eastAsia="宋体" w:cs="宋体"/>
          <w:color w:val="auto"/>
          <w:spacing w:val="7"/>
          <w:sz w:val="24"/>
          <w:szCs w:val="24"/>
          <w:lang w:val="en-US" w:eastAsia="zh-CN"/>
        </w:rPr>
        <w:t>20</w:t>
      </w:r>
      <w:r>
        <w:rPr>
          <w:rFonts w:hint="eastAsia" w:ascii="宋体" w:hAnsi="宋体" w:eastAsia="宋体" w:cs="宋体"/>
          <w:color w:val="auto"/>
          <w:spacing w:val="7"/>
          <w:sz w:val="24"/>
          <w:szCs w:val="24"/>
        </w:rPr>
        <w:t>分，院团委各部门负责人计</w:t>
      </w:r>
      <w:r>
        <w:rPr>
          <w:rFonts w:hint="eastAsia" w:ascii="宋体" w:hAnsi="宋体" w:eastAsia="宋体" w:cs="宋体"/>
          <w:color w:val="auto"/>
          <w:spacing w:val="7"/>
          <w:sz w:val="24"/>
          <w:szCs w:val="24"/>
          <w:lang w:val="en-US" w:eastAsia="zh-CN"/>
        </w:rPr>
        <w:t>16</w:t>
      </w:r>
      <w:r>
        <w:rPr>
          <w:rFonts w:hint="eastAsia" w:ascii="宋体" w:hAnsi="宋体" w:eastAsia="宋体" w:cs="宋体"/>
          <w:color w:val="auto"/>
          <w:spacing w:val="7"/>
          <w:sz w:val="24"/>
          <w:szCs w:val="24"/>
        </w:rPr>
        <w:t>分，工作人员</w:t>
      </w:r>
      <w:r>
        <w:rPr>
          <w:rFonts w:hint="eastAsia" w:ascii="宋体" w:hAnsi="宋体" w:eastAsia="宋体" w:cs="宋体"/>
          <w:color w:val="auto"/>
          <w:spacing w:val="7"/>
          <w:sz w:val="24"/>
          <w:szCs w:val="24"/>
          <w:lang w:val="en-US" w:eastAsia="zh-CN"/>
        </w:rPr>
        <w:t>4</w:t>
      </w:r>
      <w:r>
        <w:rPr>
          <w:rFonts w:hint="eastAsia" w:ascii="宋体" w:hAnsi="宋体" w:eastAsia="宋体" w:cs="宋体"/>
          <w:color w:val="auto"/>
          <w:spacing w:val="7"/>
          <w:sz w:val="24"/>
          <w:szCs w:val="24"/>
        </w:rPr>
        <w:t>分；</w:t>
      </w:r>
    </w:p>
    <w:p>
      <w:pPr>
        <w:widowControl w:val="0"/>
        <w:kinsoku/>
        <w:autoSpaceDN/>
        <w:spacing w:before="25"/>
        <w:ind w:right="1"/>
        <w:rPr>
          <w:rFonts w:ascii="宋体" w:hAnsi="宋体" w:eastAsia="宋体" w:cs="宋体"/>
          <w:color w:val="auto"/>
          <w:sz w:val="24"/>
          <w:szCs w:val="24"/>
        </w:rPr>
      </w:pPr>
      <w:r>
        <w:rPr>
          <w:rFonts w:hint="eastAsia" w:ascii="宋体" w:hAnsi="宋体" w:eastAsia="宋体" w:cs="宋体"/>
          <w:color w:val="auto"/>
          <w:spacing w:val="-1"/>
          <w:sz w:val="24"/>
          <w:szCs w:val="24"/>
        </w:rPr>
        <w:t>(3)院学生会主席团计</w:t>
      </w:r>
      <w:r>
        <w:rPr>
          <w:rFonts w:hint="eastAsia" w:ascii="宋体" w:hAnsi="宋体" w:eastAsia="宋体" w:cs="宋体"/>
          <w:color w:val="auto"/>
          <w:spacing w:val="-1"/>
          <w:sz w:val="24"/>
          <w:szCs w:val="24"/>
          <w:lang w:val="en-US" w:eastAsia="zh-CN"/>
        </w:rPr>
        <w:t>20</w:t>
      </w:r>
      <w:r>
        <w:rPr>
          <w:rFonts w:hint="eastAsia" w:ascii="宋体" w:hAnsi="宋体" w:eastAsia="宋体" w:cs="宋体"/>
          <w:color w:val="auto"/>
          <w:spacing w:val="-1"/>
          <w:sz w:val="24"/>
          <w:szCs w:val="24"/>
        </w:rPr>
        <w:t>分，部门主要负责人计</w:t>
      </w:r>
      <w:r>
        <w:rPr>
          <w:rFonts w:hint="eastAsia" w:ascii="宋体" w:hAnsi="宋体" w:eastAsia="宋体" w:cs="宋体"/>
          <w:color w:val="auto"/>
          <w:spacing w:val="-1"/>
          <w:sz w:val="24"/>
          <w:szCs w:val="24"/>
          <w:lang w:val="en-US" w:eastAsia="zh-CN"/>
        </w:rPr>
        <w:t>12</w:t>
      </w:r>
      <w:r>
        <w:rPr>
          <w:rFonts w:hint="eastAsia" w:ascii="宋体" w:hAnsi="宋体" w:eastAsia="宋体" w:cs="宋体"/>
          <w:color w:val="auto"/>
          <w:spacing w:val="-1"/>
          <w:sz w:val="24"/>
          <w:szCs w:val="24"/>
        </w:rPr>
        <w:t>分，其他负责人计</w:t>
      </w:r>
      <w:r>
        <w:rPr>
          <w:rFonts w:hint="eastAsia" w:ascii="宋体" w:hAnsi="宋体" w:eastAsia="宋体" w:cs="宋体"/>
          <w:color w:val="auto"/>
          <w:spacing w:val="-1"/>
          <w:sz w:val="24"/>
          <w:szCs w:val="24"/>
          <w:lang w:val="en-US" w:eastAsia="zh-CN"/>
        </w:rPr>
        <w:t>8</w:t>
      </w:r>
      <w:r>
        <w:rPr>
          <w:rFonts w:hint="eastAsia" w:ascii="宋体" w:hAnsi="宋体" w:eastAsia="宋体" w:cs="宋体"/>
          <w:color w:val="auto"/>
          <w:spacing w:val="-1"/>
          <w:sz w:val="24"/>
          <w:szCs w:val="24"/>
        </w:rPr>
        <w:t>分，工作人员计</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分；</w:t>
      </w:r>
    </w:p>
    <w:p>
      <w:pPr>
        <w:widowControl w:val="0"/>
        <w:kinsoku/>
        <w:autoSpaceDN/>
        <w:spacing w:before="2"/>
        <w:rPr>
          <w:rFonts w:ascii="宋体" w:hAnsi="宋体" w:eastAsia="宋体" w:cs="宋体"/>
          <w:color w:val="auto"/>
          <w:sz w:val="24"/>
          <w:szCs w:val="24"/>
        </w:rPr>
      </w:pPr>
      <w:r>
        <w:rPr>
          <w:rFonts w:hint="eastAsia" w:ascii="宋体" w:hAnsi="宋体" w:eastAsia="宋体" w:cs="宋体"/>
          <w:color w:val="auto"/>
          <w:spacing w:val="-1"/>
          <w:sz w:val="24"/>
          <w:szCs w:val="24"/>
        </w:rPr>
        <w:t>(4)崇文党建工作站主要负责</w:t>
      </w:r>
      <w:r>
        <w:rPr>
          <w:rFonts w:hint="eastAsia" w:ascii="宋体" w:hAnsi="宋体" w:eastAsia="宋体" w:cs="宋体"/>
          <w:color w:val="auto"/>
          <w:sz w:val="24"/>
          <w:szCs w:val="24"/>
        </w:rPr>
        <w:t>人计</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分，部门负责人计</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分，工作人</w:t>
      </w:r>
      <w:r>
        <w:rPr>
          <w:rFonts w:hint="eastAsia" w:ascii="宋体" w:hAnsi="宋体" w:eastAsia="宋体" w:cs="宋体"/>
          <w:color w:val="auto"/>
          <w:spacing w:val="-5"/>
          <w:sz w:val="24"/>
          <w:szCs w:val="24"/>
        </w:rPr>
        <w:t>员计</w:t>
      </w:r>
      <w:r>
        <w:rPr>
          <w:rFonts w:hint="eastAsia" w:ascii="宋体" w:hAnsi="宋体" w:eastAsia="宋体" w:cs="宋体"/>
          <w:color w:val="auto"/>
          <w:spacing w:val="-5"/>
          <w:sz w:val="24"/>
          <w:szCs w:val="24"/>
          <w:lang w:val="en-US" w:eastAsia="zh-CN"/>
        </w:rPr>
        <w:t>4</w:t>
      </w:r>
      <w:r>
        <w:rPr>
          <w:rFonts w:hint="eastAsia" w:ascii="宋体" w:hAnsi="宋体" w:eastAsia="宋体" w:cs="宋体"/>
          <w:color w:val="auto"/>
          <w:spacing w:val="-5"/>
          <w:sz w:val="24"/>
          <w:szCs w:val="24"/>
        </w:rPr>
        <w:t>分</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
          <w:sz w:val="24"/>
          <w:szCs w:val="24"/>
        </w:rPr>
        <w:t>本科生党支部书记计</w:t>
      </w:r>
      <w:r>
        <w:rPr>
          <w:rFonts w:hint="eastAsia" w:ascii="宋体" w:hAnsi="宋体" w:eastAsia="宋体" w:cs="宋体"/>
          <w:color w:val="auto"/>
          <w:spacing w:val="-5"/>
          <w:sz w:val="24"/>
          <w:szCs w:val="24"/>
          <w:lang w:val="en-US" w:eastAsia="zh-CN"/>
        </w:rPr>
        <w:t>20</w:t>
      </w:r>
      <w:r>
        <w:rPr>
          <w:rFonts w:hint="eastAsia" w:ascii="宋体" w:hAnsi="宋体" w:eastAsia="宋体" w:cs="宋体"/>
          <w:color w:val="auto"/>
          <w:spacing w:val="-5"/>
          <w:sz w:val="24"/>
          <w:szCs w:val="24"/>
        </w:rPr>
        <w:t>分，支委计</w:t>
      </w:r>
      <w:r>
        <w:rPr>
          <w:rFonts w:hint="eastAsia" w:ascii="宋体" w:hAnsi="宋体" w:eastAsia="宋体" w:cs="宋体"/>
          <w:color w:val="auto"/>
          <w:spacing w:val="-5"/>
          <w:sz w:val="24"/>
          <w:szCs w:val="24"/>
          <w:lang w:val="en-US" w:eastAsia="zh-CN"/>
        </w:rPr>
        <w:t>16</w:t>
      </w:r>
      <w:r>
        <w:rPr>
          <w:rFonts w:hint="eastAsia" w:ascii="宋体" w:hAnsi="宋体" w:eastAsia="宋体" w:cs="宋体"/>
          <w:color w:val="auto"/>
          <w:spacing w:val="-5"/>
          <w:sz w:val="24"/>
          <w:szCs w:val="24"/>
        </w:rPr>
        <w:t>分</w:t>
      </w:r>
      <w:r>
        <w:rPr>
          <w:rFonts w:hint="eastAsia" w:ascii="宋体" w:hAnsi="宋体" w:eastAsia="宋体" w:cs="宋体"/>
          <w:color w:val="auto"/>
          <w:spacing w:val="-4"/>
          <w:sz w:val="24"/>
          <w:szCs w:val="24"/>
        </w:rPr>
        <w:t>；</w:t>
      </w:r>
    </w:p>
    <w:p>
      <w:pPr>
        <w:widowControl w:val="0"/>
        <w:kinsoku/>
        <w:autoSpaceDN/>
        <w:rPr>
          <w:rFonts w:ascii="宋体" w:hAnsi="宋体" w:eastAsia="宋体" w:cs="宋体"/>
          <w:color w:val="auto"/>
          <w:sz w:val="24"/>
          <w:szCs w:val="24"/>
        </w:rPr>
      </w:pPr>
      <w:r>
        <w:rPr>
          <w:rFonts w:hint="eastAsia" w:ascii="宋体" w:hAnsi="宋体" w:eastAsia="宋体" w:cs="宋体"/>
          <w:color w:val="auto"/>
          <w:spacing w:val="-2"/>
          <w:sz w:val="24"/>
          <w:szCs w:val="24"/>
        </w:rPr>
        <w:t>(5)学生社</w:t>
      </w:r>
      <w:r>
        <w:rPr>
          <w:rFonts w:hint="eastAsia" w:ascii="宋体" w:hAnsi="宋体" w:eastAsia="宋体" w:cs="宋体"/>
          <w:color w:val="auto"/>
          <w:spacing w:val="-1"/>
          <w:sz w:val="24"/>
          <w:szCs w:val="24"/>
        </w:rPr>
        <w:t>团主要负责人计</w:t>
      </w:r>
      <w:r>
        <w:rPr>
          <w:rFonts w:hint="eastAsia" w:ascii="宋体" w:hAnsi="宋体" w:eastAsia="宋体" w:cs="宋体"/>
          <w:color w:val="auto"/>
          <w:spacing w:val="-1"/>
          <w:sz w:val="24"/>
          <w:szCs w:val="24"/>
          <w:lang w:val="en-US" w:eastAsia="zh-CN"/>
        </w:rPr>
        <w:t>12</w:t>
      </w:r>
      <w:r>
        <w:rPr>
          <w:rFonts w:hint="eastAsia" w:ascii="宋体" w:hAnsi="宋体" w:eastAsia="宋体" w:cs="宋体"/>
          <w:color w:val="auto"/>
          <w:spacing w:val="-1"/>
          <w:sz w:val="24"/>
          <w:szCs w:val="24"/>
        </w:rPr>
        <w:t>分，艺术团负责人、社团部门负责人计</w:t>
      </w:r>
      <w:r>
        <w:rPr>
          <w:rFonts w:hint="eastAsia" w:ascii="宋体" w:hAnsi="宋体" w:eastAsia="宋体" w:cs="宋体"/>
          <w:color w:val="auto"/>
          <w:spacing w:val="-1"/>
          <w:sz w:val="24"/>
          <w:szCs w:val="24"/>
          <w:lang w:val="en-US" w:eastAsia="zh-CN"/>
        </w:rPr>
        <w:t>8</w:t>
      </w:r>
      <w:r>
        <w:rPr>
          <w:rFonts w:hint="eastAsia" w:ascii="宋体" w:hAnsi="宋体" w:eastAsia="宋体" w:cs="宋体"/>
          <w:color w:val="auto"/>
          <w:spacing w:val="-1"/>
          <w:sz w:val="24"/>
          <w:szCs w:val="24"/>
        </w:rPr>
        <w:t>分，工作人员计</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rPr>
        <w:t>分；</w:t>
      </w:r>
    </w:p>
    <w:p>
      <w:pPr>
        <w:widowControl w:val="0"/>
        <w:kinsoku/>
        <w:autoSpaceDN/>
        <w:spacing w:before="20"/>
        <w:rPr>
          <w:rFonts w:ascii="宋体" w:hAnsi="宋体" w:eastAsia="宋体" w:cs="宋体"/>
          <w:color w:val="auto"/>
          <w:sz w:val="24"/>
          <w:szCs w:val="24"/>
        </w:rPr>
      </w:pPr>
      <w:r>
        <w:rPr>
          <w:rFonts w:hint="eastAsia" w:ascii="宋体" w:hAnsi="宋体" w:eastAsia="宋体" w:cs="宋体"/>
          <w:color w:val="auto"/>
          <w:spacing w:val="-8"/>
          <w:sz w:val="24"/>
          <w:szCs w:val="24"/>
        </w:rPr>
        <w:t>(6)</w:t>
      </w:r>
      <w:r>
        <w:rPr>
          <w:rFonts w:hint="eastAsia" w:ascii="宋体" w:hAnsi="宋体" w:eastAsia="宋体" w:cs="宋体"/>
          <w:color w:val="auto"/>
          <w:spacing w:val="-4"/>
          <w:sz w:val="24"/>
          <w:szCs w:val="24"/>
        </w:rPr>
        <w:t>班长、团支书计</w:t>
      </w:r>
      <w:r>
        <w:rPr>
          <w:rFonts w:hint="eastAsia" w:ascii="宋体" w:hAnsi="宋体" w:eastAsia="宋体" w:cs="宋体"/>
          <w:color w:val="auto"/>
          <w:spacing w:val="-4"/>
          <w:sz w:val="24"/>
          <w:szCs w:val="24"/>
          <w:lang w:val="en-US" w:eastAsia="zh-CN"/>
        </w:rPr>
        <w:t>16</w:t>
      </w:r>
      <w:r>
        <w:rPr>
          <w:rFonts w:hint="eastAsia" w:ascii="宋体" w:hAnsi="宋体" w:eastAsia="宋体" w:cs="宋体"/>
          <w:color w:val="auto"/>
          <w:spacing w:val="-4"/>
          <w:sz w:val="24"/>
          <w:szCs w:val="24"/>
        </w:rPr>
        <w:t>分，班委、支委计</w:t>
      </w:r>
      <w:r>
        <w:rPr>
          <w:rFonts w:hint="eastAsia" w:ascii="宋体" w:hAnsi="宋体" w:eastAsia="宋体" w:cs="宋体"/>
          <w:color w:val="auto"/>
          <w:spacing w:val="-4"/>
          <w:sz w:val="24"/>
          <w:szCs w:val="24"/>
          <w:lang w:val="en-US" w:eastAsia="zh-CN"/>
        </w:rPr>
        <w:t>4</w:t>
      </w:r>
      <w:r>
        <w:rPr>
          <w:rFonts w:hint="eastAsia" w:ascii="宋体" w:hAnsi="宋体" w:eastAsia="宋体" w:cs="宋体"/>
          <w:color w:val="auto"/>
          <w:spacing w:val="-4"/>
          <w:sz w:val="24"/>
          <w:szCs w:val="24"/>
        </w:rPr>
        <w:t>分；</w:t>
      </w:r>
    </w:p>
    <w:p>
      <w:pPr>
        <w:widowControl w:val="0"/>
        <w:kinsoku/>
        <w:autoSpaceDN/>
        <w:spacing w:before="281"/>
        <w:ind w:firstLine="388" w:firstLineChars="200"/>
        <w:rPr>
          <w:rFonts w:hint="eastAsia" w:ascii="楷体" w:hAnsi="楷体" w:eastAsia="楷体" w:cs="楷体"/>
          <w:color w:val="auto"/>
          <w:spacing w:val="-4"/>
        </w:rPr>
      </w:pPr>
      <w:r>
        <w:rPr>
          <w:rFonts w:hint="eastAsia" w:ascii="楷体" w:hAnsi="楷体" w:eastAsia="楷体" w:cs="楷体"/>
          <w:color w:val="auto"/>
          <w:spacing w:val="-8"/>
        </w:rPr>
        <w:t>注：以上为</w:t>
      </w:r>
      <w:r>
        <w:rPr>
          <w:rFonts w:hint="eastAsia" w:ascii="楷体" w:hAnsi="楷体" w:eastAsia="楷体" w:cs="楷体"/>
          <w:color w:val="auto"/>
          <w:spacing w:val="-5"/>
        </w:rPr>
        <w:t>任</w:t>
      </w:r>
      <w:r>
        <w:rPr>
          <w:rFonts w:hint="eastAsia" w:ascii="楷体" w:hAnsi="楷体" w:eastAsia="楷体" w:cs="楷体"/>
          <w:color w:val="auto"/>
          <w:spacing w:val="-4"/>
        </w:rPr>
        <w:t>职满一年且考核合格 (按10个月计算) 的分值，实际分值的计算按评定区间内的任职时间按比例折算得分。院外任职均需提供主管单位发</w:t>
      </w:r>
      <w:r>
        <w:rPr>
          <w:rFonts w:hint="eastAsia" w:ascii="楷体" w:hAnsi="楷体" w:eastAsia="楷体" w:cs="楷体"/>
          <w:color w:val="auto"/>
          <w:spacing w:val="-8"/>
        </w:rPr>
        <w:t>文或签字盖章的证</w:t>
      </w:r>
      <w:r>
        <w:rPr>
          <w:rFonts w:hint="eastAsia" w:ascii="楷体" w:hAnsi="楷体" w:eastAsia="楷体" w:cs="楷体"/>
          <w:color w:val="auto"/>
          <w:spacing w:val="-7"/>
        </w:rPr>
        <w:t>明</w:t>
      </w:r>
      <w:r>
        <w:rPr>
          <w:rFonts w:hint="eastAsia" w:ascii="楷体" w:hAnsi="楷体" w:eastAsia="楷体" w:cs="楷体"/>
          <w:color w:val="auto"/>
          <w:spacing w:val="-4"/>
        </w:rPr>
        <w:t>材料。同一体系多个任职按最高的计算，不重复计分。</w:t>
      </w:r>
    </w:p>
    <w:p>
      <w:pPr>
        <w:rPr>
          <w:rFonts w:ascii="Arial" w:hAnsi="Arial" w:eastAsia="Arial" w:cs="Arial"/>
          <w:snapToGrid w:val="0"/>
          <w:szCs w:val="21"/>
        </w:rPr>
      </w:pPr>
      <w:r>
        <w:rPr>
          <w:rFonts w:hint="eastAsia" w:ascii="楷体" w:hAnsi="楷体" w:eastAsia="楷体" w:cs="楷体"/>
          <w:color w:val="auto"/>
          <w:spacing w:val="-4"/>
        </w:rPr>
        <w:br w:type="page"/>
      </w:r>
      <w:bookmarkStart w:id="0" w:name="_GoBack"/>
      <w:bookmarkEnd w:id="0"/>
    </w:p>
    <w:p>
      <w:pPr>
        <w:autoSpaceDE w:val="0"/>
        <w:adjustRightInd w:val="0"/>
        <w:snapToGrid w:val="0"/>
        <w:spacing w:line="560" w:lineRule="exact"/>
        <w:jc w:val="left"/>
        <w:textAlignment w:val="baseline"/>
        <w:outlineLvl w:val="0"/>
        <w:rPr>
          <w:rFonts w:ascii="黑体" w:hAnsi="黑体" w:eastAsia="黑体" w:cs="黑体"/>
          <w:b/>
          <w:snapToGrid w:val="0"/>
          <w:sz w:val="30"/>
          <w:szCs w:val="30"/>
        </w:rPr>
      </w:pPr>
      <w:r>
        <w:rPr>
          <w:rFonts w:hint="eastAsia" w:ascii="黑体" w:hAnsi="黑体" w:eastAsia="黑体" w:cs="黑体"/>
          <w:b/>
          <w:snapToGrid w:val="0"/>
          <w:sz w:val="30"/>
          <w:szCs w:val="30"/>
        </w:rPr>
        <w:t xml:space="preserve">附件 </w:t>
      </w:r>
      <w:r>
        <w:rPr>
          <w:rFonts w:ascii="黑体" w:hAnsi="黑体" w:eastAsia="黑体" w:cs="黑体"/>
          <w:b/>
          <w:snapToGrid w:val="0"/>
          <w:sz w:val="30"/>
          <w:szCs w:val="30"/>
        </w:rPr>
        <w:t>2</w:t>
      </w:r>
    </w:p>
    <w:p>
      <w:pPr>
        <w:autoSpaceDE w:val="0"/>
        <w:adjustRightInd w:val="0"/>
        <w:snapToGrid w:val="0"/>
        <w:spacing w:before="161" w:line="560" w:lineRule="exact"/>
        <w:jc w:val="center"/>
        <w:textAlignment w:val="baseline"/>
        <w:rPr>
          <w:rFonts w:ascii="方正小标宋简体" w:hAnsi="方正小标宋简体" w:eastAsia="方正小标宋简体" w:cs="方正小标宋简体"/>
          <w:snapToGrid w:val="0"/>
          <w:spacing w:val="18"/>
          <w:sz w:val="44"/>
          <w:szCs w:val="44"/>
        </w:rPr>
      </w:pPr>
      <w:r>
        <w:rPr>
          <w:rFonts w:hint="eastAsia" w:ascii="方正小标宋简体" w:hAnsi="方正小标宋简体" w:eastAsia="方正小标宋简体" w:cs="方正小标宋简体"/>
          <w:snapToGrid w:val="0"/>
          <w:spacing w:val="18"/>
          <w:sz w:val="44"/>
          <w:szCs w:val="44"/>
        </w:rPr>
        <w:t>文科试验班奖学金申请表</w:t>
      </w:r>
    </w:p>
    <w:p>
      <w:pPr>
        <w:autoSpaceDE w:val="0"/>
        <w:adjustRightInd w:val="0"/>
        <w:snapToGrid w:val="0"/>
        <w:jc w:val="center"/>
        <w:textAlignment w:val="baseline"/>
        <w:rPr>
          <w:rFonts w:ascii="仿宋" w:hAnsi="仿宋" w:eastAsia="仿宋" w:cs="仿宋"/>
          <w:snapToGrid w:val="0"/>
          <w:szCs w:val="21"/>
        </w:rPr>
      </w:pPr>
      <w:r>
        <w:rPr>
          <w:rFonts w:hint="eastAsia" w:ascii="仿宋" w:hAnsi="仿宋" w:eastAsia="仿宋" w:cs="仿宋"/>
          <w:snapToGrid w:val="0"/>
          <w:szCs w:val="21"/>
        </w:rPr>
        <w:t>（本科生用表）</w:t>
      </w:r>
    </w:p>
    <w:p>
      <w:pPr>
        <w:widowControl w:val="0"/>
        <w:kinsoku/>
        <w:autoSpaceDN/>
        <w:jc w:val="center"/>
        <w:rPr>
          <w:rFonts w:ascii="仿宋" w:hAnsi="仿宋" w:eastAsia="仿宋"/>
          <w:b/>
          <w:color w:val="FF0000"/>
          <w:sz w:val="24"/>
          <w:szCs w:val="24"/>
        </w:rPr>
      </w:pPr>
      <w:r>
        <w:rPr>
          <w:rFonts w:hint="eastAsia" w:ascii="仿宋" w:hAnsi="仿宋" w:eastAsia="仿宋"/>
          <w:b/>
          <w:color w:val="FF0000"/>
          <w:sz w:val="24"/>
          <w:szCs w:val="24"/>
        </w:rPr>
        <w:t>（202×年09月—202×年09月）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246"/>
        <w:gridCol w:w="866"/>
        <w:gridCol w:w="1891"/>
        <w:gridCol w:w="1132"/>
        <w:gridCol w:w="1500"/>
        <w:gridCol w:w="1512"/>
        <w:gridCol w:w="1846"/>
        <w:gridCol w:w="1407"/>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150" w:type="dxa"/>
            <w:gridSpan w:val="10"/>
            <w:vAlign w:val="center"/>
          </w:tcPr>
          <w:p>
            <w:pPr>
              <w:widowControl w:val="0"/>
              <w:kinsoku/>
              <w:autoSpaceDN/>
              <w:jc w:val="center"/>
              <w:rPr>
                <w:rFonts w:ascii="仿宋" w:hAnsi="仿宋" w:eastAsia="仿宋" w:cs="仿宋"/>
                <w:b/>
                <w:color w:val="auto"/>
                <w:sz w:val="24"/>
                <w:szCs w:val="24"/>
              </w:rPr>
            </w:pPr>
            <w:r>
              <w:rPr>
                <w:rFonts w:hint="eastAsia" w:ascii="仿宋" w:hAnsi="仿宋" w:eastAsia="仿宋" w:cs="仿宋"/>
                <w:b/>
                <w:color w:val="auto"/>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07"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学号</w:t>
            </w:r>
          </w:p>
        </w:tc>
        <w:tc>
          <w:tcPr>
            <w:tcW w:w="1246" w:type="dxa"/>
            <w:vAlign w:val="center"/>
          </w:tcPr>
          <w:p>
            <w:pPr>
              <w:widowControl w:val="0"/>
              <w:kinsoku/>
              <w:autoSpaceDN/>
              <w:jc w:val="center"/>
              <w:rPr>
                <w:rFonts w:ascii="仿宋" w:hAnsi="仿宋" w:eastAsia="仿宋" w:cs="仿宋"/>
                <w:bCs/>
                <w:color w:val="auto"/>
              </w:rPr>
            </w:pPr>
          </w:p>
        </w:tc>
        <w:tc>
          <w:tcPr>
            <w:tcW w:w="866"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姓名</w:t>
            </w:r>
          </w:p>
        </w:tc>
        <w:tc>
          <w:tcPr>
            <w:tcW w:w="1891" w:type="dxa"/>
            <w:vAlign w:val="center"/>
          </w:tcPr>
          <w:p>
            <w:pPr>
              <w:widowControl w:val="0"/>
              <w:kinsoku/>
              <w:autoSpaceDN/>
              <w:jc w:val="center"/>
              <w:rPr>
                <w:rFonts w:ascii="仿宋" w:hAnsi="仿宋" w:eastAsia="仿宋" w:cs="仿宋"/>
                <w:bCs/>
                <w:color w:val="auto"/>
              </w:rPr>
            </w:pPr>
          </w:p>
        </w:tc>
        <w:tc>
          <w:tcPr>
            <w:tcW w:w="113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政治面貌</w:t>
            </w:r>
          </w:p>
        </w:tc>
        <w:tc>
          <w:tcPr>
            <w:tcW w:w="1500" w:type="dxa"/>
            <w:vAlign w:val="center"/>
          </w:tcPr>
          <w:p>
            <w:pPr>
              <w:widowControl w:val="0"/>
              <w:kinsoku/>
              <w:autoSpaceDN/>
              <w:jc w:val="center"/>
              <w:rPr>
                <w:rFonts w:ascii="仿宋" w:hAnsi="仿宋" w:eastAsia="仿宋" w:cs="仿宋"/>
                <w:bCs/>
                <w:color w:val="auto"/>
              </w:rPr>
            </w:pPr>
          </w:p>
        </w:tc>
        <w:tc>
          <w:tcPr>
            <w:tcW w:w="151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手机号</w:t>
            </w:r>
          </w:p>
        </w:tc>
        <w:tc>
          <w:tcPr>
            <w:tcW w:w="1846" w:type="dxa"/>
            <w:vAlign w:val="center"/>
          </w:tcPr>
          <w:p>
            <w:pPr>
              <w:widowControl w:val="0"/>
              <w:kinsoku/>
              <w:autoSpaceDN/>
              <w:jc w:val="center"/>
              <w:rPr>
                <w:rFonts w:ascii="仿宋" w:hAnsi="仿宋" w:eastAsia="仿宋" w:cs="仿宋"/>
                <w:bCs/>
                <w:color w:val="auto"/>
              </w:rPr>
            </w:pPr>
          </w:p>
        </w:tc>
        <w:tc>
          <w:tcPr>
            <w:tcW w:w="1407"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首修平均分</w:t>
            </w:r>
          </w:p>
        </w:tc>
        <w:tc>
          <w:tcPr>
            <w:tcW w:w="1243" w:type="dxa"/>
            <w:vAlign w:val="center"/>
          </w:tcPr>
          <w:p>
            <w:pPr>
              <w:widowControl w:val="0"/>
              <w:kinsoku/>
              <w:autoSpaceDN/>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507"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奖项申请意向</w:t>
            </w:r>
          </w:p>
        </w:tc>
        <w:tc>
          <w:tcPr>
            <w:tcW w:w="12643" w:type="dxa"/>
            <w:gridSpan w:val="9"/>
            <w:vAlign w:val="center"/>
          </w:tcPr>
          <w:p>
            <w:pPr>
              <w:widowControl w:val="0"/>
              <w:kinsoku/>
              <w:autoSpaceDN/>
              <w:spacing w:line="560" w:lineRule="exact"/>
              <w:jc w:val="both"/>
              <w:rPr>
                <w:rFonts w:ascii="仿宋" w:hAnsi="仿宋" w:eastAsia="仿宋" w:cs="仿宋"/>
                <w:bCs/>
                <w:color w:val="auto"/>
              </w:rPr>
            </w:pPr>
            <w:r>
              <w:rPr>
                <w:rFonts w:hint="eastAsia" w:ascii="仿宋" w:hAnsi="仿宋" w:eastAsia="仿宋" w:cs="仿宋"/>
                <w:bCs/>
                <w:color w:val="auto"/>
              </w:rPr>
              <w:t>□ 服从评委会对具体获得奖项的安排</w:t>
            </w:r>
          </w:p>
          <w:p>
            <w:pPr>
              <w:widowControl w:val="0"/>
              <w:kinsoku/>
              <w:autoSpaceDN/>
              <w:spacing w:line="560" w:lineRule="exact"/>
              <w:jc w:val="both"/>
              <w:rPr>
                <w:rFonts w:ascii="仿宋" w:hAnsi="仿宋" w:eastAsia="仿宋" w:cs="仿宋"/>
                <w:bCs/>
                <w:color w:val="auto"/>
              </w:rPr>
            </w:pPr>
            <w:r>
              <w:rPr>
                <w:rFonts w:hint="eastAsia" w:ascii="仿宋" w:hAnsi="仿宋" w:eastAsia="仿宋" w:cs="仿宋"/>
                <w:bCs/>
                <w:color w:val="auto"/>
              </w:rPr>
              <w:t>□ 仅接受特定奖项，具体说明：</w:t>
            </w:r>
          </w:p>
          <w:p>
            <w:pPr>
              <w:widowControl w:val="0"/>
              <w:kinsoku/>
              <w:autoSpaceDN/>
              <w:spacing w:line="560" w:lineRule="exact"/>
              <w:jc w:val="both"/>
              <w:rPr>
                <w:rFonts w:ascii="仿宋" w:hAnsi="仿宋" w:eastAsia="仿宋" w:cs="仿宋"/>
                <w:bCs/>
                <w:color w:val="auto"/>
              </w:rPr>
            </w:pPr>
          </w:p>
          <w:p>
            <w:pPr>
              <w:widowControl w:val="0"/>
              <w:kinsoku/>
              <w:autoSpaceDN/>
              <w:spacing w:line="560" w:lineRule="exact"/>
              <w:jc w:val="both"/>
              <w:rPr>
                <w:rFonts w:ascii="仿宋" w:hAnsi="仿宋" w:eastAsia="仿宋" w:cs="仿宋"/>
                <w:bCs/>
                <w:color w:val="auto"/>
              </w:rPr>
            </w:pPr>
            <w:r>
              <w:rPr>
                <w:rFonts w:hint="eastAsia" w:ascii="仿宋" w:hAnsi="仿宋" w:eastAsia="仿宋" w:cs="仿宋"/>
                <w:bCs/>
                <w:color w:val="auto"/>
              </w:rPr>
              <w:t>——————————————————————</w:t>
            </w:r>
          </w:p>
        </w:tc>
      </w:tr>
    </w:tbl>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1243"/>
        <w:gridCol w:w="965"/>
        <w:gridCol w:w="201"/>
        <w:gridCol w:w="1373"/>
        <w:gridCol w:w="1267"/>
        <w:gridCol w:w="1745"/>
        <w:gridCol w:w="634"/>
        <w:gridCol w:w="23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50" w:type="dxa"/>
            <w:gridSpan w:val="10"/>
            <w:vAlign w:val="center"/>
          </w:tcPr>
          <w:p>
            <w:pPr>
              <w:widowControl w:val="0"/>
              <w:kinsoku/>
              <w:autoSpaceDN/>
              <w:jc w:val="center"/>
              <w:rPr>
                <w:rFonts w:ascii="仿宋" w:hAnsi="仿宋" w:eastAsia="仿宋" w:cs="仿宋"/>
                <w:b/>
                <w:color w:val="auto"/>
                <w:sz w:val="24"/>
                <w:szCs w:val="24"/>
              </w:rPr>
            </w:pPr>
            <w:r>
              <w:rPr>
                <w:rFonts w:hint="eastAsia" w:ascii="仿宋" w:hAnsi="仿宋" w:eastAsia="仿宋" w:cs="仿宋"/>
                <w:b/>
                <w:color w:val="auto"/>
                <w:sz w:val="24"/>
                <w:szCs w:val="24"/>
              </w:rPr>
              <w:t>参与社会活动</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（最高不超过</w:t>
            </w:r>
            <w:r>
              <w:rPr>
                <w:rFonts w:hint="eastAsia" w:ascii="仿宋" w:hAnsi="仿宋" w:eastAsia="仿宋" w:cs="仿宋"/>
                <w:bCs/>
                <w:color w:val="FF0000"/>
                <w:lang w:val="en-US" w:eastAsia="zh-CN"/>
              </w:rPr>
              <w:t>8</w:t>
            </w:r>
            <w:r>
              <w:rPr>
                <w:rFonts w:hint="eastAsia" w:ascii="仿宋" w:hAnsi="仿宋" w:eastAsia="仿宋" w:cs="仿宋"/>
                <w:bCs/>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01"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活动名称</w:t>
            </w:r>
          </w:p>
        </w:tc>
        <w:tc>
          <w:tcPr>
            <w:tcW w:w="2409" w:type="dxa"/>
            <w:gridSpan w:val="3"/>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主办单位</w:t>
            </w:r>
          </w:p>
        </w:tc>
        <w:tc>
          <w:tcPr>
            <w:tcW w:w="1373"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时间</w:t>
            </w:r>
          </w:p>
        </w:tc>
        <w:tc>
          <w:tcPr>
            <w:tcW w:w="3012" w:type="dxa"/>
            <w:gridSpan w:val="2"/>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地点</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（线上请注明“线上”）</w:t>
            </w:r>
          </w:p>
        </w:tc>
        <w:tc>
          <w:tcPr>
            <w:tcW w:w="3013" w:type="dxa"/>
            <w:gridSpan w:val="2"/>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类别</w:t>
            </w:r>
          </w:p>
          <w:p>
            <w:pPr>
              <w:widowControl w:val="0"/>
              <w:kinsoku/>
              <w:autoSpaceDN/>
              <w:jc w:val="center"/>
              <w:rPr>
                <w:rFonts w:ascii="仿宋" w:hAnsi="仿宋" w:eastAsia="仿宋" w:cs="仿宋"/>
                <w:bCs/>
                <w:color w:val="FF0000"/>
              </w:rPr>
            </w:pPr>
            <w:r>
              <w:rPr>
                <w:rFonts w:hint="eastAsia" w:ascii="仿宋" w:hAnsi="仿宋" w:eastAsia="仿宋" w:cs="仿宋"/>
                <w:bCs/>
                <w:color w:val="FF0000"/>
              </w:rPr>
              <w:t>（注明：单人/集体；</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集体参与需注明所属类别）</w:t>
            </w:r>
          </w:p>
        </w:tc>
        <w:tc>
          <w:tcPr>
            <w:tcW w:w="124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101" w:type="dxa"/>
            <w:vAlign w:val="center"/>
          </w:tcPr>
          <w:p>
            <w:pPr>
              <w:widowControl w:val="0"/>
              <w:kinsoku/>
              <w:autoSpaceDN/>
              <w:jc w:val="center"/>
              <w:rPr>
                <w:rFonts w:ascii="仿宋" w:hAnsi="仿宋" w:eastAsia="仿宋" w:cs="仿宋"/>
                <w:bCs/>
                <w:color w:val="auto"/>
              </w:rPr>
            </w:pPr>
          </w:p>
        </w:tc>
        <w:tc>
          <w:tcPr>
            <w:tcW w:w="2409" w:type="dxa"/>
            <w:gridSpan w:val="3"/>
            <w:vAlign w:val="center"/>
          </w:tcPr>
          <w:p>
            <w:pPr>
              <w:widowControl w:val="0"/>
              <w:kinsoku/>
              <w:autoSpaceDN/>
              <w:jc w:val="center"/>
              <w:rPr>
                <w:rFonts w:ascii="仿宋" w:hAnsi="仿宋" w:eastAsia="仿宋" w:cs="仿宋"/>
                <w:bCs/>
                <w:color w:val="auto"/>
              </w:rPr>
            </w:pPr>
          </w:p>
        </w:tc>
        <w:tc>
          <w:tcPr>
            <w:tcW w:w="1373" w:type="dxa"/>
            <w:vAlign w:val="center"/>
          </w:tcPr>
          <w:p>
            <w:pPr>
              <w:widowControl w:val="0"/>
              <w:kinsoku/>
              <w:autoSpaceDN/>
              <w:jc w:val="center"/>
              <w:rPr>
                <w:rFonts w:ascii="仿宋" w:hAnsi="仿宋" w:eastAsia="仿宋" w:cs="仿宋"/>
                <w:bCs/>
                <w:color w:val="auto"/>
              </w:rPr>
            </w:pPr>
          </w:p>
        </w:tc>
        <w:tc>
          <w:tcPr>
            <w:tcW w:w="3012" w:type="dxa"/>
            <w:gridSpan w:val="2"/>
            <w:vAlign w:val="center"/>
          </w:tcPr>
          <w:p>
            <w:pPr>
              <w:widowControl w:val="0"/>
              <w:kinsoku/>
              <w:autoSpaceDN/>
              <w:jc w:val="center"/>
              <w:rPr>
                <w:rFonts w:ascii="仿宋" w:hAnsi="仿宋" w:eastAsia="仿宋" w:cs="仿宋"/>
                <w:bCs/>
                <w:color w:val="auto"/>
              </w:rPr>
            </w:pPr>
          </w:p>
        </w:tc>
        <w:tc>
          <w:tcPr>
            <w:tcW w:w="3013" w:type="dxa"/>
            <w:gridSpan w:val="2"/>
            <w:vAlign w:val="center"/>
          </w:tcPr>
          <w:p>
            <w:pPr>
              <w:widowControl w:val="0"/>
              <w:kinsoku/>
              <w:autoSpaceDN/>
              <w:jc w:val="center"/>
              <w:rPr>
                <w:rFonts w:ascii="仿宋" w:hAnsi="仿宋" w:eastAsia="仿宋" w:cs="仿宋"/>
                <w:bCs/>
                <w:color w:val="auto"/>
              </w:rPr>
            </w:pPr>
          </w:p>
        </w:tc>
        <w:tc>
          <w:tcPr>
            <w:tcW w:w="1242" w:type="dxa"/>
            <w:vAlign w:val="center"/>
          </w:tcPr>
          <w:p>
            <w:pPr>
              <w:widowControl w:val="0"/>
              <w:kinsoku/>
              <w:autoSpaceDN/>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101" w:type="dxa"/>
            <w:vAlign w:val="center"/>
          </w:tcPr>
          <w:p>
            <w:pPr>
              <w:widowControl w:val="0"/>
              <w:kinsoku/>
              <w:autoSpaceDN/>
              <w:jc w:val="center"/>
              <w:rPr>
                <w:rFonts w:ascii="仿宋" w:hAnsi="仿宋" w:eastAsia="仿宋" w:cs="仿宋"/>
                <w:bCs/>
                <w:color w:val="auto"/>
              </w:rPr>
            </w:pPr>
          </w:p>
        </w:tc>
        <w:tc>
          <w:tcPr>
            <w:tcW w:w="2409" w:type="dxa"/>
            <w:gridSpan w:val="3"/>
            <w:vAlign w:val="center"/>
          </w:tcPr>
          <w:p>
            <w:pPr>
              <w:widowControl w:val="0"/>
              <w:kinsoku/>
              <w:autoSpaceDN/>
              <w:jc w:val="center"/>
              <w:rPr>
                <w:rFonts w:ascii="仿宋" w:hAnsi="仿宋" w:eastAsia="仿宋" w:cs="仿宋"/>
                <w:bCs/>
                <w:color w:val="auto"/>
              </w:rPr>
            </w:pPr>
          </w:p>
        </w:tc>
        <w:tc>
          <w:tcPr>
            <w:tcW w:w="1373" w:type="dxa"/>
            <w:vAlign w:val="center"/>
          </w:tcPr>
          <w:p>
            <w:pPr>
              <w:widowControl w:val="0"/>
              <w:kinsoku/>
              <w:autoSpaceDN/>
              <w:jc w:val="center"/>
              <w:rPr>
                <w:rFonts w:ascii="仿宋" w:hAnsi="仿宋" w:eastAsia="仿宋" w:cs="仿宋"/>
                <w:bCs/>
                <w:color w:val="auto"/>
              </w:rPr>
            </w:pPr>
          </w:p>
        </w:tc>
        <w:tc>
          <w:tcPr>
            <w:tcW w:w="3012" w:type="dxa"/>
            <w:gridSpan w:val="2"/>
            <w:vAlign w:val="center"/>
          </w:tcPr>
          <w:p>
            <w:pPr>
              <w:widowControl w:val="0"/>
              <w:kinsoku/>
              <w:autoSpaceDN/>
              <w:jc w:val="center"/>
              <w:rPr>
                <w:rFonts w:ascii="仿宋" w:hAnsi="仿宋" w:eastAsia="仿宋" w:cs="仿宋"/>
                <w:bCs/>
                <w:color w:val="auto"/>
              </w:rPr>
            </w:pPr>
          </w:p>
        </w:tc>
        <w:tc>
          <w:tcPr>
            <w:tcW w:w="3013" w:type="dxa"/>
            <w:gridSpan w:val="2"/>
            <w:vAlign w:val="center"/>
          </w:tcPr>
          <w:p>
            <w:pPr>
              <w:widowControl w:val="0"/>
              <w:kinsoku/>
              <w:autoSpaceDN/>
              <w:jc w:val="center"/>
              <w:rPr>
                <w:rFonts w:ascii="仿宋" w:hAnsi="仿宋" w:eastAsia="仿宋" w:cs="仿宋"/>
                <w:bCs/>
                <w:color w:val="auto"/>
              </w:rPr>
            </w:pPr>
          </w:p>
        </w:tc>
        <w:tc>
          <w:tcPr>
            <w:tcW w:w="1242" w:type="dxa"/>
            <w:vAlign w:val="center"/>
          </w:tcPr>
          <w:p>
            <w:pPr>
              <w:widowControl w:val="0"/>
              <w:kinsoku/>
              <w:autoSpaceDN/>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150" w:type="dxa"/>
            <w:gridSpan w:val="10"/>
            <w:vAlign w:val="center"/>
          </w:tcPr>
          <w:p>
            <w:pPr>
              <w:widowControl w:val="0"/>
              <w:kinsoku/>
              <w:autoSpaceDN/>
              <w:jc w:val="center"/>
              <w:rPr>
                <w:rFonts w:ascii="仿宋" w:hAnsi="仿宋" w:eastAsia="仿宋" w:cs="仿宋"/>
                <w:b/>
                <w:color w:val="auto"/>
                <w:sz w:val="24"/>
                <w:szCs w:val="24"/>
              </w:rPr>
            </w:pPr>
            <w:r>
              <w:rPr>
                <w:rFonts w:hint="eastAsia" w:ascii="仿宋" w:hAnsi="仿宋" w:eastAsia="仿宋" w:cs="仿宋"/>
                <w:b/>
                <w:color w:val="auto"/>
                <w:sz w:val="24"/>
                <w:szCs w:val="24"/>
              </w:rPr>
              <w:t>参与志愿服务</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（最高不超过</w:t>
            </w:r>
            <w:r>
              <w:rPr>
                <w:rFonts w:hint="eastAsia" w:ascii="仿宋" w:hAnsi="仿宋" w:eastAsia="仿宋" w:cs="仿宋"/>
                <w:bCs/>
                <w:color w:val="FF0000"/>
                <w:lang w:val="en-US" w:eastAsia="zh-CN"/>
              </w:rPr>
              <w:t>12</w:t>
            </w:r>
            <w:r>
              <w:rPr>
                <w:rFonts w:hint="eastAsia" w:ascii="仿宋" w:hAnsi="仿宋" w:eastAsia="仿宋" w:cs="仿宋"/>
                <w:bCs/>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50" w:type="dxa"/>
            <w:gridSpan w:val="6"/>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志愿服务项目名称</w:t>
            </w:r>
          </w:p>
        </w:tc>
        <w:tc>
          <w:tcPr>
            <w:tcW w:w="2379" w:type="dxa"/>
            <w:gridSpan w:val="2"/>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单项时长</w:t>
            </w:r>
          </w:p>
        </w:tc>
        <w:tc>
          <w:tcPr>
            <w:tcW w:w="2379"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总时长</w:t>
            </w:r>
          </w:p>
        </w:tc>
        <w:tc>
          <w:tcPr>
            <w:tcW w:w="124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50" w:type="dxa"/>
            <w:gridSpan w:val="6"/>
            <w:vAlign w:val="center"/>
          </w:tcPr>
          <w:p>
            <w:pPr>
              <w:widowControl w:val="0"/>
              <w:kinsoku/>
              <w:autoSpaceDN/>
              <w:jc w:val="center"/>
              <w:rPr>
                <w:rFonts w:ascii="仿宋" w:hAnsi="仿宋" w:eastAsia="仿宋" w:cs="仿宋"/>
                <w:bCs/>
                <w:color w:val="auto"/>
              </w:rPr>
            </w:pPr>
          </w:p>
        </w:tc>
        <w:tc>
          <w:tcPr>
            <w:tcW w:w="2379" w:type="dxa"/>
            <w:gridSpan w:val="2"/>
            <w:vAlign w:val="center"/>
          </w:tcPr>
          <w:p>
            <w:pPr>
              <w:widowControl w:val="0"/>
              <w:kinsoku/>
              <w:autoSpaceDN/>
              <w:jc w:val="center"/>
              <w:rPr>
                <w:rFonts w:ascii="仿宋" w:hAnsi="仿宋" w:eastAsia="仿宋" w:cs="仿宋"/>
                <w:bCs/>
                <w:color w:val="auto"/>
              </w:rPr>
            </w:pPr>
          </w:p>
        </w:tc>
        <w:tc>
          <w:tcPr>
            <w:tcW w:w="2379" w:type="dxa"/>
            <w:vMerge w:val="restart"/>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 xml:space="preserve"> </w:t>
            </w:r>
          </w:p>
        </w:tc>
        <w:tc>
          <w:tcPr>
            <w:tcW w:w="1242" w:type="dxa"/>
            <w:vMerge w:val="restart"/>
            <w:vAlign w:val="center"/>
          </w:tcPr>
          <w:p>
            <w:pPr>
              <w:widowControl w:val="0"/>
              <w:kinsoku/>
              <w:autoSpaceDN/>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50" w:type="dxa"/>
            <w:gridSpan w:val="6"/>
            <w:vAlign w:val="center"/>
          </w:tcPr>
          <w:p>
            <w:pPr>
              <w:widowControl w:val="0"/>
              <w:kinsoku/>
              <w:autoSpaceDN/>
              <w:jc w:val="center"/>
              <w:rPr>
                <w:rFonts w:ascii="仿宋" w:hAnsi="仿宋" w:eastAsia="仿宋" w:cs="仿宋"/>
                <w:bCs/>
                <w:color w:val="auto"/>
              </w:rPr>
            </w:pPr>
          </w:p>
        </w:tc>
        <w:tc>
          <w:tcPr>
            <w:tcW w:w="2379" w:type="dxa"/>
            <w:gridSpan w:val="2"/>
            <w:vAlign w:val="center"/>
          </w:tcPr>
          <w:p>
            <w:pPr>
              <w:widowControl w:val="0"/>
              <w:kinsoku/>
              <w:autoSpaceDN/>
              <w:jc w:val="center"/>
              <w:rPr>
                <w:rFonts w:ascii="仿宋" w:hAnsi="仿宋" w:eastAsia="仿宋" w:cs="仿宋"/>
                <w:bCs/>
                <w:color w:val="auto"/>
              </w:rPr>
            </w:pPr>
          </w:p>
        </w:tc>
        <w:tc>
          <w:tcPr>
            <w:tcW w:w="2379" w:type="dxa"/>
            <w:vMerge w:val="continue"/>
            <w:vAlign w:val="center"/>
          </w:tcPr>
          <w:p>
            <w:pPr>
              <w:widowControl w:val="0"/>
              <w:kinsoku/>
              <w:autoSpaceDN/>
              <w:jc w:val="center"/>
              <w:rPr>
                <w:rFonts w:ascii="仿宋" w:hAnsi="仿宋" w:eastAsia="仿宋" w:cs="仿宋"/>
                <w:bCs/>
                <w:color w:val="auto"/>
              </w:rPr>
            </w:pPr>
          </w:p>
        </w:tc>
        <w:tc>
          <w:tcPr>
            <w:tcW w:w="1242" w:type="dxa"/>
            <w:vMerge w:val="continue"/>
            <w:vAlign w:val="center"/>
          </w:tcPr>
          <w:p>
            <w:pPr>
              <w:widowControl w:val="0"/>
              <w:kinsoku/>
              <w:autoSpaceDN/>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150" w:type="dxa"/>
            <w:gridSpan w:val="6"/>
            <w:vAlign w:val="center"/>
          </w:tcPr>
          <w:p>
            <w:pPr>
              <w:widowControl w:val="0"/>
              <w:kinsoku/>
              <w:autoSpaceDN/>
              <w:jc w:val="center"/>
              <w:rPr>
                <w:rFonts w:ascii="仿宋" w:hAnsi="仿宋" w:eastAsia="仿宋" w:cs="仿宋"/>
                <w:bCs/>
                <w:color w:val="auto"/>
              </w:rPr>
            </w:pPr>
          </w:p>
        </w:tc>
        <w:tc>
          <w:tcPr>
            <w:tcW w:w="2379" w:type="dxa"/>
            <w:gridSpan w:val="2"/>
            <w:vAlign w:val="center"/>
          </w:tcPr>
          <w:p>
            <w:pPr>
              <w:widowControl w:val="0"/>
              <w:kinsoku/>
              <w:autoSpaceDN/>
              <w:jc w:val="center"/>
              <w:rPr>
                <w:rFonts w:ascii="仿宋" w:hAnsi="仿宋" w:eastAsia="仿宋" w:cs="仿宋"/>
                <w:bCs/>
                <w:color w:val="auto"/>
              </w:rPr>
            </w:pPr>
          </w:p>
        </w:tc>
        <w:tc>
          <w:tcPr>
            <w:tcW w:w="2379" w:type="dxa"/>
            <w:vMerge w:val="continue"/>
            <w:vAlign w:val="center"/>
          </w:tcPr>
          <w:p>
            <w:pPr>
              <w:widowControl w:val="0"/>
              <w:kinsoku/>
              <w:autoSpaceDN/>
              <w:jc w:val="center"/>
              <w:rPr>
                <w:rFonts w:ascii="仿宋" w:hAnsi="仿宋" w:eastAsia="仿宋" w:cs="仿宋"/>
                <w:bCs/>
                <w:color w:val="auto"/>
              </w:rPr>
            </w:pPr>
          </w:p>
        </w:tc>
        <w:tc>
          <w:tcPr>
            <w:tcW w:w="1242" w:type="dxa"/>
            <w:vMerge w:val="continue"/>
            <w:vAlign w:val="center"/>
          </w:tcPr>
          <w:p>
            <w:pPr>
              <w:widowControl w:val="0"/>
              <w:kinsoku/>
              <w:autoSpaceDN/>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150" w:type="dxa"/>
            <w:gridSpan w:val="10"/>
            <w:vAlign w:val="center"/>
          </w:tcPr>
          <w:p>
            <w:pPr>
              <w:widowControl w:val="0"/>
              <w:kinsoku/>
              <w:autoSpaceDN/>
              <w:jc w:val="center"/>
              <w:rPr>
                <w:rFonts w:ascii="仿宋" w:hAnsi="仿宋" w:eastAsia="仿宋" w:cs="仿宋"/>
                <w:b/>
                <w:color w:val="auto"/>
                <w:sz w:val="24"/>
                <w:szCs w:val="24"/>
              </w:rPr>
            </w:pPr>
            <w:r>
              <w:rPr>
                <w:rFonts w:hint="eastAsia" w:ascii="仿宋" w:hAnsi="仿宋" w:eastAsia="仿宋" w:cs="仿宋"/>
                <w:b/>
                <w:color w:val="auto"/>
                <w:sz w:val="24"/>
                <w:szCs w:val="24"/>
              </w:rPr>
              <w:t>获得荣誉</w:t>
            </w:r>
            <w:r>
              <w:rPr>
                <w:rFonts w:hint="eastAsia" w:ascii="仿宋" w:hAnsi="仿宋" w:eastAsia="仿宋" w:cs="仿宋"/>
                <w:b/>
                <w:color w:val="auto"/>
                <w:sz w:val="24"/>
                <w:szCs w:val="24"/>
                <w:lang w:val="en-US" w:eastAsia="zh-CN"/>
              </w:rPr>
              <w:t>及</w:t>
            </w:r>
            <w:r>
              <w:rPr>
                <w:rFonts w:hint="eastAsia" w:ascii="仿宋" w:hAnsi="仿宋" w:eastAsia="仿宋" w:cs="仿宋"/>
                <w:b/>
                <w:color w:val="auto"/>
                <w:sz w:val="24"/>
                <w:szCs w:val="24"/>
              </w:rPr>
              <w:t>奖励</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（最高不超过</w:t>
            </w:r>
            <w:r>
              <w:rPr>
                <w:rFonts w:hint="eastAsia" w:ascii="仿宋" w:hAnsi="仿宋" w:eastAsia="仿宋" w:cs="仿宋"/>
                <w:bCs/>
                <w:color w:val="FF0000"/>
                <w:lang w:val="en-US" w:eastAsia="zh-CN"/>
              </w:rPr>
              <w:t>40</w:t>
            </w:r>
            <w:r>
              <w:rPr>
                <w:rFonts w:hint="eastAsia" w:ascii="仿宋" w:hAnsi="仿宋" w:eastAsia="仿宋" w:cs="仿宋"/>
                <w:bCs/>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101"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名称</w:t>
            </w:r>
          </w:p>
        </w:tc>
        <w:tc>
          <w:tcPr>
            <w:tcW w:w="2208" w:type="dxa"/>
            <w:gridSpan w:val="2"/>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认定单位</w:t>
            </w:r>
          </w:p>
        </w:tc>
        <w:tc>
          <w:tcPr>
            <w:tcW w:w="2841" w:type="dxa"/>
            <w:gridSpan w:val="3"/>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时间</w:t>
            </w:r>
          </w:p>
        </w:tc>
        <w:tc>
          <w:tcPr>
            <w:tcW w:w="2379" w:type="dxa"/>
            <w:gridSpan w:val="2"/>
            <w:vAlign w:val="center"/>
          </w:tcPr>
          <w:p>
            <w:pPr>
              <w:widowControl w:val="0"/>
              <w:kinsoku/>
              <w:autoSpaceDN/>
              <w:jc w:val="center"/>
              <w:rPr>
                <w:rFonts w:hint="eastAsia" w:ascii="仿宋" w:hAnsi="仿宋" w:eastAsia="仿宋" w:cs="仿宋"/>
                <w:bCs/>
                <w:color w:val="auto"/>
                <w:lang w:val="en-US" w:eastAsia="zh-CN"/>
              </w:rPr>
            </w:pPr>
            <w:r>
              <w:rPr>
                <w:rFonts w:hint="eastAsia" w:ascii="仿宋" w:hAnsi="仿宋" w:eastAsia="仿宋" w:cs="仿宋"/>
                <w:bCs/>
                <w:color w:val="auto"/>
                <w:lang w:val="en-US" w:eastAsia="zh-CN"/>
              </w:rPr>
              <w:t>等级</w:t>
            </w:r>
          </w:p>
          <w:p>
            <w:pPr>
              <w:widowControl w:val="0"/>
              <w:kinsoku/>
              <w:autoSpaceDN/>
              <w:jc w:val="center"/>
              <w:rPr>
                <w:rFonts w:hint="default" w:ascii="仿宋" w:hAnsi="仿宋" w:eastAsia="仿宋" w:cs="仿宋"/>
                <w:bCs/>
                <w:color w:val="auto"/>
                <w:lang w:val="en-US" w:eastAsia="zh-CN"/>
              </w:rPr>
            </w:pPr>
            <w:r>
              <w:rPr>
                <w:rFonts w:hint="eastAsia" w:ascii="仿宋" w:hAnsi="仿宋" w:eastAsia="仿宋" w:cs="仿宋"/>
                <w:bCs/>
                <w:color w:val="FF0000"/>
                <w:lang w:val="en-US" w:eastAsia="zh-CN"/>
              </w:rPr>
              <w:t>（注明序号）</w:t>
            </w:r>
          </w:p>
        </w:tc>
        <w:tc>
          <w:tcPr>
            <w:tcW w:w="2379" w:type="dxa"/>
            <w:vAlign w:val="center"/>
          </w:tcPr>
          <w:p>
            <w:pPr>
              <w:widowControl w:val="0"/>
              <w:kinsoku/>
              <w:autoSpaceDN/>
              <w:jc w:val="center"/>
              <w:rPr>
                <w:rFonts w:hint="eastAsia" w:ascii="仿宋" w:hAnsi="仿宋" w:eastAsia="仿宋" w:cs="仿宋"/>
                <w:bCs/>
                <w:color w:val="FF0000"/>
                <w:lang w:val="en-US" w:eastAsia="zh-CN"/>
              </w:rPr>
            </w:pPr>
            <w:r>
              <w:rPr>
                <w:rFonts w:hint="eastAsia" w:ascii="仿宋" w:hAnsi="仿宋" w:eastAsia="仿宋" w:cs="仿宋"/>
                <w:bCs/>
                <w:color w:val="auto"/>
                <w:lang w:val="en-US" w:eastAsia="zh-CN"/>
              </w:rPr>
              <w:t>类别</w:t>
            </w:r>
          </w:p>
          <w:p>
            <w:pPr>
              <w:widowControl w:val="0"/>
              <w:kinsoku/>
              <w:autoSpaceDN/>
              <w:jc w:val="center"/>
              <w:rPr>
                <w:rFonts w:hint="eastAsia" w:ascii="仿宋" w:hAnsi="仿宋" w:eastAsia="仿宋" w:cs="仿宋"/>
                <w:bCs/>
                <w:color w:val="FF0000"/>
              </w:rPr>
            </w:pPr>
            <w:r>
              <w:rPr>
                <w:rFonts w:hint="eastAsia" w:ascii="仿宋" w:hAnsi="仿宋" w:eastAsia="仿宋" w:cs="仿宋"/>
                <w:bCs/>
                <w:color w:val="FF0000"/>
              </w:rPr>
              <w:t>（单人/集体；</w:t>
            </w:r>
          </w:p>
          <w:p>
            <w:pPr>
              <w:widowControl w:val="0"/>
              <w:kinsoku/>
              <w:autoSpaceDN/>
              <w:jc w:val="center"/>
              <w:rPr>
                <w:rFonts w:hint="eastAsia" w:ascii="仿宋" w:hAnsi="仿宋" w:eastAsia="仿宋" w:cs="仿宋"/>
                <w:bCs/>
                <w:color w:val="FF0000"/>
                <w:lang w:val="en-US" w:eastAsia="zh-CN"/>
              </w:rPr>
            </w:pPr>
            <w:r>
              <w:rPr>
                <w:rFonts w:hint="eastAsia" w:ascii="仿宋" w:hAnsi="仿宋" w:eastAsia="仿宋" w:cs="仿宋"/>
                <w:bCs/>
                <w:color w:val="FF0000"/>
              </w:rPr>
              <w:t>集体</w:t>
            </w:r>
            <w:r>
              <w:rPr>
                <w:rFonts w:hint="eastAsia" w:ascii="仿宋" w:hAnsi="仿宋" w:eastAsia="仿宋" w:cs="仿宋"/>
                <w:bCs/>
                <w:color w:val="FF0000"/>
                <w:lang w:val="en-US" w:eastAsia="zh-CN"/>
              </w:rPr>
              <w:t>需</w:t>
            </w:r>
            <w:r>
              <w:rPr>
                <w:rFonts w:hint="eastAsia" w:ascii="仿宋" w:hAnsi="仿宋" w:eastAsia="仿宋" w:cs="仿宋"/>
                <w:bCs/>
                <w:color w:val="FF0000"/>
              </w:rPr>
              <w:t>注明所属类别）</w:t>
            </w:r>
          </w:p>
        </w:tc>
        <w:tc>
          <w:tcPr>
            <w:tcW w:w="124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101" w:type="dxa"/>
            <w:vAlign w:val="center"/>
          </w:tcPr>
          <w:p>
            <w:pPr>
              <w:widowControl w:val="0"/>
              <w:kinsoku/>
              <w:autoSpaceDN/>
              <w:jc w:val="center"/>
              <w:rPr>
                <w:rFonts w:ascii="仿宋" w:hAnsi="仿宋" w:eastAsia="仿宋" w:cs="仿宋"/>
                <w:bCs/>
                <w:color w:val="auto"/>
              </w:rPr>
            </w:pPr>
          </w:p>
        </w:tc>
        <w:tc>
          <w:tcPr>
            <w:tcW w:w="2208" w:type="dxa"/>
            <w:gridSpan w:val="2"/>
            <w:vAlign w:val="center"/>
          </w:tcPr>
          <w:p>
            <w:pPr>
              <w:widowControl w:val="0"/>
              <w:kinsoku/>
              <w:autoSpaceDN/>
              <w:jc w:val="center"/>
              <w:rPr>
                <w:rFonts w:ascii="仿宋" w:hAnsi="仿宋" w:eastAsia="仿宋" w:cs="仿宋"/>
                <w:bCs/>
                <w:color w:val="auto"/>
              </w:rPr>
            </w:pPr>
          </w:p>
        </w:tc>
        <w:tc>
          <w:tcPr>
            <w:tcW w:w="2841" w:type="dxa"/>
            <w:gridSpan w:val="3"/>
            <w:vAlign w:val="center"/>
          </w:tcPr>
          <w:p>
            <w:pPr>
              <w:widowControl w:val="0"/>
              <w:kinsoku/>
              <w:autoSpaceDN/>
              <w:jc w:val="center"/>
              <w:rPr>
                <w:rFonts w:ascii="仿宋" w:hAnsi="仿宋" w:eastAsia="仿宋" w:cs="仿宋"/>
                <w:bCs/>
                <w:color w:val="auto"/>
              </w:rPr>
            </w:pPr>
          </w:p>
        </w:tc>
        <w:tc>
          <w:tcPr>
            <w:tcW w:w="2379" w:type="dxa"/>
            <w:gridSpan w:val="2"/>
            <w:vAlign w:val="center"/>
          </w:tcPr>
          <w:p>
            <w:pPr>
              <w:widowControl w:val="0"/>
              <w:kinsoku/>
              <w:autoSpaceDN/>
              <w:jc w:val="center"/>
              <w:rPr>
                <w:rFonts w:hint="default" w:ascii="仿宋" w:hAnsi="仿宋" w:eastAsia="仿宋" w:cs="仿宋"/>
                <w:bCs/>
                <w:color w:val="auto"/>
                <w:lang w:val="en-US" w:eastAsia="zh-CN"/>
              </w:rPr>
            </w:pPr>
            <w:r>
              <w:rPr>
                <w:rFonts w:hint="eastAsia" w:ascii="仿宋" w:hAnsi="仿宋" w:eastAsia="仿宋" w:cs="仿宋"/>
                <w:bCs/>
                <w:color w:val="FF0000"/>
                <w:lang w:val="en-US" w:eastAsia="zh-CN"/>
              </w:rPr>
              <w:t>例：6. 国家级</w:t>
            </w:r>
          </w:p>
        </w:tc>
        <w:tc>
          <w:tcPr>
            <w:tcW w:w="2379" w:type="dxa"/>
            <w:vAlign w:val="center"/>
          </w:tcPr>
          <w:p>
            <w:pPr>
              <w:widowControl w:val="0"/>
              <w:kinsoku/>
              <w:autoSpaceDN/>
              <w:jc w:val="center"/>
              <w:rPr>
                <w:rFonts w:hint="default" w:ascii="仿宋" w:hAnsi="仿宋" w:eastAsia="仿宋" w:cs="仿宋"/>
                <w:bCs/>
                <w:color w:val="auto"/>
                <w:lang w:val="en-US" w:eastAsia="zh-CN"/>
              </w:rPr>
            </w:pPr>
            <w:r>
              <w:rPr>
                <w:rFonts w:hint="eastAsia" w:ascii="仿宋" w:hAnsi="仿宋" w:eastAsia="仿宋" w:cs="仿宋"/>
                <w:bCs/>
                <w:color w:val="FF0000"/>
                <w:lang w:val="en-US" w:eastAsia="zh-CN"/>
              </w:rPr>
              <w:t>例：集体；负责人</w:t>
            </w:r>
          </w:p>
        </w:tc>
        <w:tc>
          <w:tcPr>
            <w:tcW w:w="1242" w:type="dxa"/>
            <w:vAlign w:val="center"/>
          </w:tcPr>
          <w:p>
            <w:pPr>
              <w:widowControl w:val="0"/>
              <w:kinsoku/>
              <w:autoSpaceDN/>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50" w:type="dxa"/>
            <w:gridSpan w:val="10"/>
            <w:vAlign w:val="center"/>
          </w:tcPr>
          <w:p>
            <w:pPr>
              <w:widowControl w:val="0"/>
              <w:kinsoku/>
              <w:autoSpaceDN/>
              <w:jc w:val="center"/>
              <w:rPr>
                <w:rFonts w:ascii="仿宋" w:hAnsi="仿宋" w:eastAsia="仿宋" w:cs="仿宋"/>
                <w:b/>
                <w:color w:val="auto"/>
                <w:sz w:val="24"/>
                <w:szCs w:val="24"/>
              </w:rPr>
            </w:pPr>
            <w:r>
              <w:rPr>
                <w:rFonts w:hint="eastAsia" w:ascii="仿宋" w:hAnsi="仿宋" w:eastAsia="仿宋" w:cs="仿宋"/>
                <w:b/>
                <w:color w:val="auto"/>
                <w:sz w:val="24"/>
                <w:szCs w:val="24"/>
              </w:rPr>
              <w:t>学生工作任职</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（最高不超过</w:t>
            </w:r>
            <w:r>
              <w:rPr>
                <w:rFonts w:hint="eastAsia" w:ascii="仿宋" w:hAnsi="仿宋" w:eastAsia="仿宋" w:cs="仿宋"/>
                <w:bCs/>
                <w:color w:val="FF0000"/>
                <w:lang w:val="en-US" w:eastAsia="zh-CN"/>
              </w:rPr>
              <w:t>40</w:t>
            </w:r>
            <w:r>
              <w:rPr>
                <w:rFonts w:hint="eastAsia" w:ascii="仿宋" w:hAnsi="仿宋" w:eastAsia="仿宋" w:cs="仿宋"/>
                <w:bCs/>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44" w:type="dxa"/>
            <w:gridSpan w:val="2"/>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担任职务</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（院外任职请提供证明材料附后）</w:t>
            </w:r>
          </w:p>
        </w:tc>
        <w:tc>
          <w:tcPr>
            <w:tcW w:w="3806" w:type="dxa"/>
            <w:gridSpan w:val="4"/>
            <w:vAlign w:val="center"/>
          </w:tcPr>
          <w:p>
            <w:pPr>
              <w:widowControl w:val="0"/>
              <w:kinsoku/>
              <w:autoSpaceDN/>
              <w:jc w:val="center"/>
              <w:rPr>
                <w:rFonts w:hint="eastAsia" w:ascii="仿宋" w:hAnsi="仿宋" w:eastAsia="仿宋" w:cs="仿宋"/>
                <w:bCs/>
                <w:color w:val="FF0000"/>
                <w:lang w:val="en-US" w:eastAsia="zh-CN"/>
              </w:rPr>
            </w:pPr>
            <w:r>
              <w:rPr>
                <w:rFonts w:hint="eastAsia" w:ascii="仿宋" w:hAnsi="仿宋" w:eastAsia="仿宋" w:cs="仿宋"/>
                <w:bCs/>
                <w:color w:val="auto"/>
              </w:rPr>
              <w:t>起止时间</w:t>
            </w:r>
          </w:p>
        </w:tc>
        <w:tc>
          <w:tcPr>
            <w:tcW w:w="2379" w:type="dxa"/>
            <w:gridSpan w:val="2"/>
            <w:vAlign w:val="center"/>
          </w:tcPr>
          <w:p>
            <w:pPr>
              <w:widowControl w:val="0"/>
              <w:kinsoku/>
              <w:autoSpaceDN/>
              <w:jc w:val="center"/>
              <w:rPr>
                <w:rFonts w:hint="eastAsia" w:ascii="仿宋" w:hAnsi="仿宋" w:eastAsia="仿宋" w:cs="仿宋"/>
                <w:bCs/>
                <w:color w:val="auto"/>
                <w:lang w:val="en-US" w:eastAsia="zh-CN"/>
              </w:rPr>
            </w:pPr>
            <w:r>
              <w:rPr>
                <w:rFonts w:hint="eastAsia" w:ascii="仿宋" w:hAnsi="仿宋" w:eastAsia="仿宋" w:cs="仿宋"/>
                <w:bCs/>
                <w:color w:val="auto"/>
                <w:lang w:val="en-US" w:eastAsia="zh-CN"/>
              </w:rPr>
              <w:t>类别</w:t>
            </w:r>
          </w:p>
          <w:p>
            <w:pPr>
              <w:widowControl w:val="0"/>
              <w:kinsoku/>
              <w:autoSpaceDN/>
              <w:jc w:val="center"/>
              <w:rPr>
                <w:rFonts w:ascii="仿宋" w:hAnsi="仿宋" w:eastAsia="仿宋" w:cs="仿宋"/>
                <w:bCs/>
                <w:color w:val="auto"/>
              </w:rPr>
            </w:pPr>
            <w:r>
              <w:rPr>
                <w:rFonts w:hint="eastAsia" w:ascii="仿宋" w:hAnsi="仿宋" w:eastAsia="仿宋" w:cs="仿宋"/>
                <w:bCs/>
                <w:color w:val="FF0000"/>
                <w:lang w:val="en-US" w:eastAsia="zh-CN"/>
              </w:rPr>
              <w:t>（注明1-6）</w:t>
            </w:r>
          </w:p>
        </w:tc>
        <w:tc>
          <w:tcPr>
            <w:tcW w:w="2379"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lang w:val="en-US" w:eastAsia="zh-CN"/>
              </w:rPr>
              <w:t>单项</w:t>
            </w:r>
            <w:r>
              <w:rPr>
                <w:rFonts w:hint="eastAsia" w:ascii="仿宋" w:hAnsi="仿宋" w:eastAsia="仿宋" w:cs="仿宋"/>
                <w:bCs/>
                <w:color w:val="auto"/>
              </w:rPr>
              <w:t>计分</w:t>
            </w:r>
          </w:p>
          <w:p>
            <w:pPr>
              <w:widowControl w:val="0"/>
              <w:kinsoku/>
              <w:autoSpaceDN/>
              <w:jc w:val="center"/>
              <w:rPr>
                <w:rFonts w:ascii="仿宋" w:hAnsi="仿宋" w:eastAsia="仿宋" w:cs="仿宋"/>
                <w:bCs/>
                <w:color w:val="auto"/>
              </w:rPr>
            </w:pPr>
            <w:r>
              <w:rPr>
                <w:rFonts w:hint="eastAsia" w:ascii="仿宋" w:hAnsi="仿宋" w:eastAsia="仿宋" w:cs="仿宋"/>
                <w:bCs/>
                <w:color w:val="FF0000"/>
              </w:rPr>
              <w:t>（同一体系取最高）</w:t>
            </w:r>
          </w:p>
        </w:tc>
        <w:tc>
          <w:tcPr>
            <w:tcW w:w="124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44" w:type="dxa"/>
            <w:gridSpan w:val="2"/>
            <w:vAlign w:val="center"/>
          </w:tcPr>
          <w:p>
            <w:pPr>
              <w:widowControl w:val="0"/>
              <w:kinsoku/>
              <w:autoSpaceDN/>
              <w:jc w:val="center"/>
              <w:rPr>
                <w:rFonts w:hint="eastAsia" w:ascii="仿宋" w:hAnsi="仿宋" w:eastAsia="仿宋" w:cs="仿宋"/>
                <w:bCs/>
                <w:color w:val="FF0000"/>
              </w:rPr>
            </w:pPr>
          </w:p>
        </w:tc>
        <w:tc>
          <w:tcPr>
            <w:tcW w:w="3806" w:type="dxa"/>
            <w:gridSpan w:val="4"/>
            <w:vAlign w:val="center"/>
          </w:tcPr>
          <w:p>
            <w:pPr>
              <w:widowControl w:val="0"/>
              <w:kinsoku/>
              <w:autoSpaceDN/>
              <w:jc w:val="center"/>
              <w:rPr>
                <w:rFonts w:hint="eastAsia" w:ascii="仿宋" w:hAnsi="仿宋" w:eastAsia="仿宋" w:cs="仿宋"/>
                <w:bCs/>
                <w:color w:val="auto"/>
              </w:rPr>
            </w:pPr>
          </w:p>
        </w:tc>
        <w:tc>
          <w:tcPr>
            <w:tcW w:w="2379" w:type="dxa"/>
            <w:gridSpan w:val="2"/>
            <w:vAlign w:val="center"/>
          </w:tcPr>
          <w:p>
            <w:pPr>
              <w:widowControl w:val="0"/>
              <w:kinsoku/>
              <w:autoSpaceDN/>
              <w:jc w:val="center"/>
              <w:rPr>
                <w:rFonts w:hint="eastAsia" w:ascii="仿宋" w:hAnsi="仿宋" w:eastAsia="仿宋" w:cs="仿宋"/>
                <w:bCs/>
                <w:color w:val="FF0000"/>
                <w:lang w:val="en-US" w:eastAsia="zh-CN"/>
              </w:rPr>
            </w:pPr>
          </w:p>
        </w:tc>
        <w:tc>
          <w:tcPr>
            <w:tcW w:w="2379" w:type="dxa"/>
            <w:vAlign w:val="center"/>
          </w:tcPr>
          <w:p>
            <w:pPr>
              <w:widowControl w:val="0"/>
              <w:kinsoku/>
              <w:autoSpaceDN/>
              <w:jc w:val="center"/>
              <w:rPr>
                <w:rFonts w:hint="eastAsia" w:ascii="仿宋" w:hAnsi="仿宋" w:eastAsia="仿宋" w:cs="仿宋"/>
                <w:bCs/>
                <w:color w:val="FF0000"/>
              </w:rPr>
            </w:pPr>
          </w:p>
        </w:tc>
        <w:tc>
          <w:tcPr>
            <w:tcW w:w="1242" w:type="dxa"/>
            <w:vAlign w:val="center"/>
          </w:tcPr>
          <w:p>
            <w:pPr>
              <w:widowControl w:val="0"/>
              <w:kinsoku/>
              <w:autoSpaceDN/>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44" w:type="dxa"/>
            <w:gridSpan w:val="2"/>
            <w:vAlign w:val="center"/>
          </w:tcPr>
          <w:p>
            <w:pPr>
              <w:widowControl w:val="0"/>
              <w:kinsoku/>
              <w:autoSpaceDN/>
              <w:jc w:val="center"/>
              <w:rPr>
                <w:rFonts w:ascii="仿宋" w:hAnsi="仿宋" w:eastAsia="仿宋" w:cs="仿宋"/>
                <w:bCs/>
                <w:color w:val="auto"/>
              </w:rPr>
            </w:pPr>
          </w:p>
        </w:tc>
        <w:tc>
          <w:tcPr>
            <w:tcW w:w="3806" w:type="dxa"/>
            <w:gridSpan w:val="4"/>
            <w:vAlign w:val="center"/>
          </w:tcPr>
          <w:p>
            <w:pPr>
              <w:widowControl w:val="0"/>
              <w:kinsoku/>
              <w:autoSpaceDN/>
              <w:jc w:val="center"/>
              <w:rPr>
                <w:rFonts w:ascii="仿宋" w:hAnsi="仿宋" w:eastAsia="仿宋" w:cs="仿宋"/>
                <w:bCs/>
                <w:color w:val="auto"/>
              </w:rPr>
            </w:pPr>
          </w:p>
        </w:tc>
        <w:tc>
          <w:tcPr>
            <w:tcW w:w="2379" w:type="dxa"/>
            <w:gridSpan w:val="2"/>
            <w:vAlign w:val="center"/>
          </w:tcPr>
          <w:p>
            <w:pPr>
              <w:widowControl w:val="0"/>
              <w:kinsoku/>
              <w:autoSpaceDN/>
              <w:jc w:val="center"/>
              <w:rPr>
                <w:rFonts w:hint="default" w:ascii="仿宋" w:hAnsi="仿宋" w:eastAsia="仿宋" w:cs="仿宋"/>
                <w:bCs/>
                <w:color w:val="auto"/>
                <w:lang w:val="en-US" w:eastAsia="zh-CN"/>
              </w:rPr>
            </w:pPr>
            <w:r>
              <w:rPr>
                <w:rFonts w:hint="eastAsia" w:ascii="仿宋" w:hAnsi="仿宋" w:eastAsia="仿宋" w:cs="仿宋"/>
                <w:bCs/>
                <w:color w:val="FF0000"/>
                <w:lang w:val="en-US" w:eastAsia="zh-CN"/>
              </w:rPr>
              <w:t>例：（1）</w:t>
            </w:r>
          </w:p>
        </w:tc>
        <w:tc>
          <w:tcPr>
            <w:tcW w:w="2379" w:type="dxa"/>
            <w:vAlign w:val="center"/>
          </w:tcPr>
          <w:p>
            <w:pPr>
              <w:widowControl w:val="0"/>
              <w:kinsoku/>
              <w:autoSpaceDN/>
              <w:jc w:val="center"/>
              <w:rPr>
                <w:rFonts w:ascii="仿宋" w:hAnsi="仿宋" w:eastAsia="仿宋" w:cs="仿宋"/>
                <w:bCs/>
                <w:color w:val="FF0000"/>
              </w:rPr>
            </w:pPr>
          </w:p>
        </w:tc>
        <w:tc>
          <w:tcPr>
            <w:tcW w:w="1242" w:type="dxa"/>
            <w:vAlign w:val="center"/>
          </w:tcPr>
          <w:p>
            <w:pPr>
              <w:widowControl w:val="0"/>
              <w:kinsoku/>
              <w:autoSpaceDN/>
              <w:jc w:val="center"/>
              <w:rPr>
                <w:rFonts w:ascii="仿宋" w:hAnsi="仿宋" w:eastAsia="仿宋" w:cs="仿宋"/>
                <w:bCs/>
                <w:color w:val="auto"/>
              </w:rPr>
            </w:pPr>
          </w:p>
        </w:tc>
      </w:tr>
    </w:tbl>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4"/>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150" w:type="dxa"/>
            <w:gridSpan w:val="2"/>
            <w:vAlign w:val="center"/>
          </w:tcPr>
          <w:p>
            <w:pPr>
              <w:widowControl w:val="0"/>
              <w:kinsoku/>
              <w:autoSpaceDN/>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学术创新能力</w:t>
            </w:r>
          </w:p>
          <w:p>
            <w:pPr>
              <w:widowControl w:val="0"/>
              <w:kinsoku/>
              <w:autoSpaceDN/>
              <w:jc w:val="center"/>
              <w:rPr>
                <w:rFonts w:ascii="宋体" w:hAnsi="宋体" w:eastAsia="宋体"/>
                <w:color w:val="auto"/>
                <w:sz w:val="24"/>
                <w:szCs w:val="24"/>
              </w:rPr>
            </w:pPr>
            <w:r>
              <w:rPr>
                <w:rFonts w:hint="eastAsia" w:ascii="仿宋" w:hAnsi="仿宋" w:eastAsia="仿宋" w:cs="仿宋"/>
                <w:bCs/>
                <w:color w:val="FF0000"/>
              </w:rPr>
              <w:t>（最高不超过</w:t>
            </w:r>
            <w:r>
              <w:rPr>
                <w:rFonts w:hint="eastAsia" w:ascii="仿宋" w:hAnsi="仿宋" w:eastAsia="仿宋" w:cs="仿宋"/>
                <w:bCs/>
                <w:color w:val="FF0000"/>
                <w:lang w:val="en-US" w:eastAsia="zh-CN"/>
              </w:rPr>
              <w:t>5</w:t>
            </w:r>
            <w:r>
              <w:rPr>
                <w:rFonts w:hint="eastAsia" w:ascii="仿宋" w:hAnsi="仿宋" w:eastAsia="仿宋" w:cs="仿宋"/>
                <w:bCs/>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04" w:type="dxa"/>
            <w:vAlign w:val="center"/>
          </w:tcPr>
          <w:p>
            <w:pPr>
              <w:widowControl w:val="0"/>
              <w:kinsoku/>
              <w:autoSpaceDN/>
              <w:jc w:val="center"/>
              <w:rPr>
                <w:rFonts w:ascii="宋体" w:hAnsi="宋体" w:eastAsia="宋体"/>
                <w:b/>
                <w:color w:val="auto"/>
                <w:sz w:val="24"/>
                <w:szCs w:val="24"/>
              </w:rPr>
            </w:pPr>
            <w:r>
              <w:rPr>
                <w:rFonts w:hint="eastAsia" w:ascii="仿宋" w:hAnsi="仿宋" w:eastAsia="仿宋" w:cs="仿宋"/>
                <w:bCs/>
                <w:color w:val="auto"/>
              </w:rPr>
              <w:t>代表性学术成果</w:t>
            </w:r>
          </w:p>
        </w:tc>
        <w:tc>
          <w:tcPr>
            <w:tcW w:w="7046" w:type="dxa"/>
            <w:vAlign w:val="center"/>
          </w:tcPr>
          <w:p>
            <w:pPr>
              <w:widowControl w:val="0"/>
              <w:kinsoku/>
              <w:autoSpaceDN/>
              <w:jc w:val="center"/>
              <w:rPr>
                <w:rFonts w:ascii="宋体" w:hAnsi="宋体" w:eastAsia="宋体"/>
                <w:color w:val="auto"/>
                <w:sz w:val="24"/>
                <w:szCs w:val="24"/>
              </w:rPr>
            </w:pPr>
            <w:r>
              <w:rPr>
                <w:rFonts w:hint="eastAsia" w:ascii="仿宋" w:hAnsi="仿宋" w:eastAsia="仿宋" w:cs="仿宋"/>
                <w:bCs/>
                <w:color w:val="auto"/>
              </w:rPr>
              <w:t>学科竞赛情况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04" w:type="dxa"/>
            <w:vAlign w:val="center"/>
          </w:tcPr>
          <w:p>
            <w:pPr>
              <w:widowControl w:val="0"/>
              <w:kinsoku/>
              <w:autoSpaceDN/>
              <w:jc w:val="center"/>
              <w:rPr>
                <w:color w:val="auto"/>
              </w:rPr>
            </w:pPr>
          </w:p>
        </w:tc>
        <w:tc>
          <w:tcPr>
            <w:tcW w:w="7046" w:type="dxa"/>
            <w:vAlign w:val="center"/>
          </w:tcPr>
          <w:p>
            <w:pPr>
              <w:widowControl w:val="0"/>
              <w:kinsoku/>
              <w:autoSpaceDN/>
              <w:jc w:val="center"/>
              <w:rPr>
                <w:color w:val="auto"/>
              </w:rPr>
            </w:pPr>
          </w:p>
        </w:tc>
      </w:tr>
    </w:tbl>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2"/>
        <w:gridCol w:w="3523"/>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150" w:type="dxa"/>
            <w:gridSpan w:val="4"/>
            <w:vAlign w:val="center"/>
          </w:tcPr>
          <w:p>
            <w:pPr>
              <w:widowControl w:val="0"/>
              <w:kinsoku/>
              <w:autoSpaceDN/>
              <w:jc w:val="center"/>
              <w:rPr>
                <w:rFonts w:ascii="仿宋" w:hAnsi="仿宋" w:eastAsia="仿宋" w:cs="仿宋"/>
                <w:b/>
                <w:color w:val="auto"/>
                <w:sz w:val="24"/>
                <w:szCs w:val="24"/>
              </w:rPr>
            </w:pPr>
            <w:r>
              <w:rPr>
                <w:rFonts w:hint="eastAsia" w:ascii="仿宋" w:hAnsi="仿宋" w:eastAsia="仿宋" w:cs="仿宋"/>
                <w:b/>
                <w:color w:val="auto"/>
                <w:sz w:val="24"/>
                <w:szCs w:val="24"/>
              </w:rPr>
              <w:t>评审栏</w:t>
            </w:r>
          </w:p>
          <w:p>
            <w:pPr>
              <w:widowControl w:val="0"/>
              <w:kinsoku/>
              <w:autoSpaceDN/>
              <w:jc w:val="center"/>
              <w:rPr>
                <w:rFonts w:ascii="仿宋" w:hAnsi="仿宋" w:eastAsia="仿宋" w:cs="仿宋"/>
                <w:b/>
                <w:color w:val="auto"/>
                <w:sz w:val="24"/>
                <w:szCs w:val="24"/>
              </w:rPr>
            </w:pPr>
            <w:r>
              <w:rPr>
                <w:rFonts w:hint="eastAsia" w:ascii="仿宋" w:hAnsi="仿宋" w:eastAsia="仿宋" w:cs="仿宋"/>
                <w:bCs/>
                <w:color w:val="auto"/>
              </w:rPr>
              <w:t>（学生请勿填写）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55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加权平均成绩</w:t>
            </w:r>
          </w:p>
        </w:tc>
        <w:tc>
          <w:tcPr>
            <w:tcW w:w="3552"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lang w:val="en-US" w:eastAsia="zh-CN"/>
              </w:rPr>
              <w:t>加权</w:t>
            </w:r>
            <w:r>
              <w:rPr>
                <w:rFonts w:hint="eastAsia" w:ascii="仿宋" w:hAnsi="仿宋" w:eastAsia="仿宋" w:cs="仿宋"/>
                <w:bCs/>
                <w:color w:val="auto"/>
              </w:rPr>
              <w:t>社会</w:t>
            </w:r>
            <w:r>
              <w:rPr>
                <w:rFonts w:hint="eastAsia" w:ascii="仿宋" w:hAnsi="仿宋" w:eastAsia="仿宋" w:cs="仿宋"/>
                <w:bCs/>
                <w:color w:val="auto"/>
                <w:lang w:val="en-US" w:eastAsia="zh-CN"/>
              </w:rPr>
              <w:t>活动及</w:t>
            </w:r>
            <w:r>
              <w:rPr>
                <w:rFonts w:hint="eastAsia" w:ascii="仿宋" w:hAnsi="仿宋" w:eastAsia="仿宋" w:cs="仿宋"/>
                <w:bCs/>
                <w:color w:val="auto"/>
              </w:rPr>
              <w:t>学生工作成绩</w:t>
            </w:r>
          </w:p>
        </w:tc>
        <w:tc>
          <w:tcPr>
            <w:tcW w:w="3523"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学科竞赛及科研活动成绩</w:t>
            </w:r>
          </w:p>
        </w:tc>
        <w:tc>
          <w:tcPr>
            <w:tcW w:w="3523" w:type="dxa"/>
            <w:vAlign w:val="center"/>
          </w:tcPr>
          <w:p>
            <w:pPr>
              <w:widowControl w:val="0"/>
              <w:kinsoku/>
              <w:autoSpaceDN/>
              <w:jc w:val="center"/>
              <w:rPr>
                <w:rFonts w:ascii="仿宋" w:hAnsi="仿宋" w:eastAsia="仿宋" w:cs="仿宋"/>
                <w:bCs/>
                <w:color w:val="auto"/>
              </w:rPr>
            </w:pPr>
            <w:r>
              <w:rPr>
                <w:rFonts w:hint="eastAsia" w:ascii="仿宋" w:hAnsi="仿宋" w:eastAsia="仿宋" w:cs="仿宋"/>
                <w:bCs/>
                <w:color w:val="auto"/>
              </w:rPr>
              <w:t>答辩成绩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552" w:type="dxa"/>
            <w:vAlign w:val="center"/>
          </w:tcPr>
          <w:p>
            <w:pPr>
              <w:widowControl w:val="0"/>
              <w:kinsoku/>
              <w:autoSpaceDN/>
              <w:jc w:val="center"/>
              <w:rPr>
                <w:color w:val="auto"/>
              </w:rPr>
            </w:pPr>
          </w:p>
        </w:tc>
        <w:tc>
          <w:tcPr>
            <w:tcW w:w="3552" w:type="dxa"/>
            <w:vAlign w:val="center"/>
          </w:tcPr>
          <w:p>
            <w:pPr>
              <w:widowControl w:val="0"/>
              <w:kinsoku/>
              <w:autoSpaceDN/>
              <w:jc w:val="center"/>
              <w:rPr>
                <w:color w:val="auto"/>
              </w:rPr>
            </w:pPr>
          </w:p>
        </w:tc>
        <w:tc>
          <w:tcPr>
            <w:tcW w:w="3523" w:type="dxa"/>
            <w:vAlign w:val="center"/>
          </w:tcPr>
          <w:p>
            <w:pPr>
              <w:widowControl w:val="0"/>
              <w:kinsoku/>
              <w:autoSpaceDN/>
              <w:jc w:val="center"/>
              <w:rPr>
                <w:color w:val="auto"/>
              </w:rPr>
            </w:pPr>
          </w:p>
        </w:tc>
        <w:tc>
          <w:tcPr>
            <w:tcW w:w="3523" w:type="dxa"/>
            <w:vAlign w:val="center"/>
          </w:tcPr>
          <w:p>
            <w:pPr>
              <w:widowControl w:val="0"/>
              <w:kinsoku/>
              <w:autoSpaceDN/>
              <w:jc w:val="center"/>
              <w:rPr>
                <w:color w:val="auto"/>
              </w:rPr>
            </w:pPr>
          </w:p>
        </w:tc>
      </w:tr>
    </w:tbl>
    <w:p>
      <w:pPr>
        <w:widowControl w:val="0"/>
        <w:kinsoku/>
        <w:autoSpaceDN/>
        <w:spacing w:line="56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注：</w:t>
      </w:r>
    </w:p>
    <w:p>
      <w:pPr>
        <w:keepNext w:val="0"/>
        <w:keepLines w:val="0"/>
        <w:pageBreakBefore w:val="0"/>
        <w:widowControl w:val="0"/>
        <w:numPr>
          <w:ilvl w:val="0"/>
          <w:numId w:val="8"/>
        </w:numPr>
        <w:kinsoku/>
        <w:wordWrap/>
        <w:overflowPunct/>
        <w:topLinePunct w:val="0"/>
        <w:autoSpaceDE w:val="0"/>
        <w:autoSpaceDN/>
        <w:bidi w:val="0"/>
        <w:adjustRightInd w:val="0"/>
        <w:snapToGrid w:val="0"/>
        <w:spacing w:line="400" w:lineRule="exact"/>
        <w:ind w:left="0" w:leftChars="0" w:firstLine="0" w:firstLineChars="0"/>
        <w:textAlignment w:val="baseline"/>
        <w:rPr>
          <w:rFonts w:hint="eastAsia" w:ascii="仿宋" w:hAnsi="仿宋" w:eastAsia="仿宋"/>
          <w:color w:val="auto"/>
          <w:sz w:val="24"/>
          <w:szCs w:val="24"/>
        </w:rPr>
      </w:pPr>
      <w:r>
        <w:rPr>
          <w:rFonts w:hint="eastAsia" w:ascii="仿宋" w:hAnsi="仿宋" w:eastAsia="仿宋"/>
          <w:color w:val="auto"/>
          <w:sz w:val="24"/>
          <w:szCs w:val="24"/>
        </w:rPr>
        <w:t>如现有</w:t>
      </w:r>
      <w:r>
        <w:rPr>
          <w:rFonts w:ascii="仿宋" w:hAnsi="仿宋" w:eastAsia="仿宋"/>
          <w:color w:val="auto"/>
          <w:sz w:val="24"/>
          <w:szCs w:val="24"/>
        </w:rPr>
        <w:t>表格不够，可自行添加行</w:t>
      </w:r>
      <w:r>
        <w:rPr>
          <w:rFonts w:hint="eastAsia" w:ascii="仿宋" w:hAnsi="仿宋" w:eastAsia="仿宋"/>
          <w:color w:val="auto"/>
          <w:sz w:val="24"/>
          <w:szCs w:val="24"/>
        </w:rPr>
        <w:t>，相关纸质证明材料需附后（如：奖状、工作证明、第二课堂志愿服务时长截图等）</w:t>
      </w:r>
    </w:p>
    <w:p>
      <w:pPr>
        <w:keepNext w:val="0"/>
        <w:keepLines w:val="0"/>
        <w:pageBreakBefore w:val="0"/>
        <w:widowControl w:val="0"/>
        <w:numPr>
          <w:ilvl w:val="0"/>
          <w:numId w:val="8"/>
        </w:numPr>
        <w:kinsoku/>
        <w:wordWrap/>
        <w:overflowPunct/>
        <w:topLinePunct w:val="0"/>
        <w:autoSpaceDE w:val="0"/>
        <w:autoSpaceDN/>
        <w:bidi w:val="0"/>
        <w:adjustRightInd w:val="0"/>
        <w:snapToGrid w:val="0"/>
        <w:spacing w:line="400" w:lineRule="exact"/>
        <w:ind w:left="0" w:leftChars="0" w:firstLine="0" w:firstLineChars="0"/>
        <w:textAlignment w:val="baseline"/>
        <w:rPr>
          <w:rFonts w:ascii="仿宋_GB2312" w:hAnsi="仿宋" w:eastAsia="仿宋_GB2312" w:cs="仿宋"/>
          <w:spacing w:val="-2"/>
          <w:sz w:val="32"/>
          <w:szCs w:val="32"/>
        </w:rPr>
      </w:pPr>
      <w:r>
        <w:rPr>
          <w:rFonts w:hint="eastAsia" w:ascii="仿宋" w:hAnsi="仿宋" w:eastAsia="仿宋"/>
          <w:color w:val="auto"/>
          <w:sz w:val="24"/>
          <w:szCs w:val="24"/>
          <w:lang w:val="en-US" w:eastAsia="zh-CN"/>
        </w:rPr>
        <w:t>表格中红字部分为填写规范，填写完毕可自行删除；除评审栏外，所有空格均由学生本人填写。</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B76DAB-5935-44B7-A4AB-02945585C0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C3F7EF2-23CF-4D63-B65C-85D5524F851C}"/>
  </w:font>
  <w:font w:name="方正小标宋简体">
    <w:panose1 w:val="02000000000000000000"/>
    <w:charset w:val="86"/>
    <w:family w:val="script"/>
    <w:pitch w:val="default"/>
    <w:sig w:usb0="00000001" w:usb1="08000000" w:usb2="00000000" w:usb3="00000000" w:csb0="00040000" w:csb1="00000000"/>
    <w:embedRegular r:id="rId3" w:fontKey="{1C6175B8-353C-41B9-9292-3D9C6D7341EC}"/>
  </w:font>
  <w:font w:name="仿宋_GB2312">
    <w:panose1 w:val="02010609030101010101"/>
    <w:charset w:val="86"/>
    <w:family w:val="modern"/>
    <w:pitch w:val="default"/>
    <w:sig w:usb0="00000001" w:usb1="080E0000" w:usb2="00000000" w:usb3="00000000" w:csb0="00040000" w:csb1="00000000"/>
    <w:embedRegular r:id="rId4" w:fontKey="{EFB5EBDA-C106-418E-B1D7-9C62F204D170}"/>
  </w:font>
  <w:font w:name="仿宋">
    <w:panose1 w:val="02010609060101010101"/>
    <w:charset w:val="86"/>
    <w:family w:val="modern"/>
    <w:pitch w:val="default"/>
    <w:sig w:usb0="800002BF" w:usb1="38CF7CFA" w:usb2="00000016" w:usb3="00000000" w:csb0="00040001" w:csb1="00000000"/>
    <w:embedRegular r:id="rId5" w:fontKey="{48917A4D-BD86-4E36-A622-2750785D5418}"/>
  </w:font>
  <w:font w:name="楷体_GB2312">
    <w:panose1 w:val="02010609030101010101"/>
    <w:charset w:val="86"/>
    <w:family w:val="modern"/>
    <w:pitch w:val="default"/>
    <w:sig w:usb0="00000001" w:usb1="080E0000" w:usb2="00000000" w:usb3="00000000" w:csb0="00040000" w:csb1="00000000"/>
    <w:embedRegular r:id="rId6" w:fontKey="{F4875A15-C2FB-49D2-B940-3CAF5F344BE7}"/>
  </w:font>
  <w:font w:name="Arial">
    <w:panose1 w:val="020B0604020202020204"/>
    <w:charset w:val="00"/>
    <w:family w:val="swiss"/>
    <w:pitch w:val="default"/>
    <w:sig w:usb0="E0002EFF" w:usb1="C000785B" w:usb2="00000009" w:usb3="00000000" w:csb0="400001FF" w:csb1="FFFF0000"/>
    <w:embedRegular r:id="rId7" w:fontKey="{78BC1DC1-CA78-4FCB-AB56-2FF4FF902AF1}"/>
  </w:font>
  <w:font w:name="楷体">
    <w:panose1 w:val="02010609060101010101"/>
    <w:charset w:val="86"/>
    <w:family w:val="modern"/>
    <w:pitch w:val="default"/>
    <w:sig w:usb0="800002BF" w:usb1="38CF7CFA" w:usb2="00000016" w:usb3="00000000" w:csb0="00040001" w:csb1="00000000"/>
    <w:embedRegular r:id="rId8" w:fontKey="{02F0A79B-955C-496B-83D7-0CBAD618E1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0BDE5"/>
    <w:multiLevelType w:val="singleLevel"/>
    <w:tmpl w:val="9280BDE5"/>
    <w:lvl w:ilvl="0" w:tentative="0">
      <w:start w:val="1"/>
      <w:numFmt w:val="decimal"/>
      <w:suff w:val="space"/>
      <w:lvlText w:val="%1."/>
      <w:lvlJc w:val="left"/>
    </w:lvl>
  </w:abstractNum>
  <w:abstractNum w:abstractNumId="1">
    <w:nsid w:val="990475E6"/>
    <w:multiLevelType w:val="singleLevel"/>
    <w:tmpl w:val="990475E6"/>
    <w:lvl w:ilvl="0" w:tentative="0">
      <w:start w:val="1"/>
      <w:numFmt w:val="decimal"/>
      <w:suff w:val="space"/>
      <w:lvlText w:val="（%1）"/>
      <w:lvlJc w:val="left"/>
    </w:lvl>
  </w:abstractNum>
  <w:abstractNum w:abstractNumId="2">
    <w:nsid w:val="DBD7FBEC"/>
    <w:multiLevelType w:val="singleLevel"/>
    <w:tmpl w:val="DBD7FBEC"/>
    <w:lvl w:ilvl="0" w:tentative="0">
      <w:start w:val="1"/>
      <w:numFmt w:val="decimal"/>
      <w:suff w:val="nothing"/>
      <w:lvlText w:val="%1、"/>
      <w:lvlJc w:val="left"/>
    </w:lvl>
  </w:abstractNum>
  <w:abstractNum w:abstractNumId="3">
    <w:nsid w:val="F9527F4C"/>
    <w:multiLevelType w:val="singleLevel"/>
    <w:tmpl w:val="F9527F4C"/>
    <w:lvl w:ilvl="0" w:tentative="0">
      <w:start w:val="1"/>
      <w:numFmt w:val="decimal"/>
      <w:suff w:val="space"/>
      <w:lvlText w:val="%1."/>
      <w:lvlJc w:val="left"/>
    </w:lvl>
  </w:abstractNum>
  <w:abstractNum w:abstractNumId="4">
    <w:nsid w:val="FF2470F7"/>
    <w:multiLevelType w:val="singleLevel"/>
    <w:tmpl w:val="FF2470F7"/>
    <w:lvl w:ilvl="0" w:tentative="0">
      <w:start w:val="1"/>
      <w:numFmt w:val="decimal"/>
      <w:suff w:val="nothing"/>
      <w:lvlText w:val="%1、"/>
      <w:lvlJc w:val="left"/>
    </w:lvl>
  </w:abstractNum>
  <w:abstractNum w:abstractNumId="5">
    <w:nsid w:val="28E10C9E"/>
    <w:multiLevelType w:val="multilevel"/>
    <w:tmpl w:val="28E10C9E"/>
    <w:lvl w:ilvl="0" w:tentative="0">
      <w:start w:val="1"/>
      <w:numFmt w:val="japaneseCounting"/>
      <w:lvlText w:val="%1、"/>
      <w:lvlJc w:val="left"/>
      <w:pPr>
        <w:ind w:left="1358" w:hanging="720"/>
      </w:pPr>
      <w:rPr>
        <w:rFonts w:hint="default"/>
      </w:rPr>
    </w:lvl>
    <w:lvl w:ilvl="1" w:tentative="0">
      <w:start w:val="1"/>
      <w:numFmt w:val="lowerLetter"/>
      <w:lvlText w:val="%2)"/>
      <w:lvlJc w:val="left"/>
      <w:pPr>
        <w:ind w:left="1478" w:hanging="420"/>
      </w:pPr>
    </w:lvl>
    <w:lvl w:ilvl="2" w:tentative="0">
      <w:start w:val="1"/>
      <w:numFmt w:val="lowerRoman"/>
      <w:lvlText w:val="%3."/>
      <w:lvlJc w:val="right"/>
      <w:pPr>
        <w:ind w:left="1898" w:hanging="420"/>
      </w:pPr>
    </w:lvl>
    <w:lvl w:ilvl="3" w:tentative="0">
      <w:start w:val="1"/>
      <w:numFmt w:val="decimal"/>
      <w:lvlText w:val="%4."/>
      <w:lvlJc w:val="left"/>
      <w:pPr>
        <w:ind w:left="2318" w:hanging="420"/>
      </w:pPr>
    </w:lvl>
    <w:lvl w:ilvl="4" w:tentative="0">
      <w:start w:val="1"/>
      <w:numFmt w:val="lowerLetter"/>
      <w:lvlText w:val="%5)"/>
      <w:lvlJc w:val="left"/>
      <w:pPr>
        <w:ind w:left="2738" w:hanging="420"/>
      </w:pPr>
    </w:lvl>
    <w:lvl w:ilvl="5" w:tentative="0">
      <w:start w:val="1"/>
      <w:numFmt w:val="lowerRoman"/>
      <w:lvlText w:val="%6."/>
      <w:lvlJc w:val="right"/>
      <w:pPr>
        <w:ind w:left="3158" w:hanging="420"/>
      </w:pPr>
    </w:lvl>
    <w:lvl w:ilvl="6" w:tentative="0">
      <w:start w:val="1"/>
      <w:numFmt w:val="decimal"/>
      <w:lvlText w:val="%7."/>
      <w:lvlJc w:val="left"/>
      <w:pPr>
        <w:ind w:left="3578" w:hanging="420"/>
      </w:pPr>
    </w:lvl>
    <w:lvl w:ilvl="7" w:tentative="0">
      <w:start w:val="1"/>
      <w:numFmt w:val="lowerLetter"/>
      <w:lvlText w:val="%8)"/>
      <w:lvlJc w:val="left"/>
      <w:pPr>
        <w:ind w:left="3998" w:hanging="420"/>
      </w:pPr>
    </w:lvl>
    <w:lvl w:ilvl="8" w:tentative="0">
      <w:start w:val="1"/>
      <w:numFmt w:val="lowerRoman"/>
      <w:lvlText w:val="%9."/>
      <w:lvlJc w:val="right"/>
      <w:pPr>
        <w:ind w:left="4418" w:hanging="420"/>
      </w:pPr>
    </w:lvl>
  </w:abstractNum>
  <w:abstractNum w:abstractNumId="6">
    <w:nsid w:val="29D1EA3D"/>
    <w:multiLevelType w:val="singleLevel"/>
    <w:tmpl w:val="29D1EA3D"/>
    <w:lvl w:ilvl="0" w:tentative="0">
      <w:start w:val="1"/>
      <w:numFmt w:val="decimal"/>
      <w:suff w:val="space"/>
      <w:lvlText w:val="%1."/>
      <w:lvlJc w:val="left"/>
    </w:lvl>
  </w:abstractNum>
  <w:abstractNum w:abstractNumId="7">
    <w:nsid w:val="699DD74C"/>
    <w:multiLevelType w:val="singleLevel"/>
    <w:tmpl w:val="699DD74C"/>
    <w:lvl w:ilvl="0" w:tentative="0">
      <w:start w:val="1"/>
      <w:numFmt w:val="decimal"/>
      <w:suff w:val="space"/>
      <w:lvlText w:val="%1."/>
      <w:lvlJc w:val="left"/>
      <w:rPr>
        <w:rFonts w:hint="default" w:ascii="楷体" w:hAnsi="楷体" w:eastAsia="楷体" w:cs="楷体"/>
        <w:sz w:val="21"/>
        <w:szCs w:val="21"/>
      </w:rPr>
    </w:lvl>
  </w:abstractNum>
  <w:num w:numId="1">
    <w:abstractNumId w:val="5"/>
  </w:num>
  <w:num w:numId="2">
    <w:abstractNumId w:val="4"/>
  </w:num>
  <w:num w:numId="3">
    <w:abstractNumId w:val="1"/>
  </w:num>
  <w:num w:numId="4">
    <w:abstractNumId w:val="0"/>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MWZlY2YzYWE5ZDAxZjg2ODlhZjEwMTRiZjUzMmQifQ=="/>
  </w:docVars>
  <w:rsids>
    <w:rsidRoot w:val="00D97EC9"/>
    <w:rsid w:val="00002CEA"/>
    <w:rsid w:val="00005CE1"/>
    <w:rsid w:val="000A6626"/>
    <w:rsid w:val="000C0B56"/>
    <w:rsid w:val="000F2BDE"/>
    <w:rsid w:val="00145F86"/>
    <w:rsid w:val="001575B5"/>
    <w:rsid w:val="00193383"/>
    <w:rsid w:val="001C1991"/>
    <w:rsid w:val="001D547A"/>
    <w:rsid w:val="001E75E2"/>
    <w:rsid w:val="002022A2"/>
    <w:rsid w:val="00212D03"/>
    <w:rsid w:val="00245CBE"/>
    <w:rsid w:val="002A05C0"/>
    <w:rsid w:val="002D43EE"/>
    <w:rsid w:val="002F10F2"/>
    <w:rsid w:val="0031387F"/>
    <w:rsid w:val="00334D70"/>
    <w:rsid w:val="003F5F00"/>
    <w:rsid w:val="00406006"/>
    <w:rsid w:val="004B5181"/>
    <w:rsid w:val="00531BCF"/>
    <w:rsid w:val="00551518"/>
    <w:rsid w:val="005B26D1"/>
    <w:rsid w:val="005D60CA"/>
    <w:rsid w:val="005F63C7"/>
    <w:rsid w:val="00610495"/>
    <w:rsid w:val="0061438E"/>
    <w:rsid w:val="00674613"/>
    <w:rsid w:val="006B250D"/>
    <w:rsid w:val="006D687B"/>
    <w:rsid w:val="00761A82"/>
    <w:rsid w:val="007914AA"/>
    <w:rsid w:val="007944F0"/>
    <w:rsid w:val="007A0D6E"/>
    <w:rsid w:val="00806B29"/>
    <w:rsid w:val="008317DE"/>
    <w:rsid w:val="00840204"/>
    <w:rsid w:val="008A1ED7"/>
    <w:rsid w:val="008E2195"/>
    <w:rsid w:val="00926FC7"/>
    <w:rsid w:val="00947C1C"/>
    <w:rsid w:val="00990DC3"/>
    <w:rsid w:val="009F1174"/>
    <w:rsid w:val="00A600A3"/>
    <w:rsid w:val="00A90573"/>
    <w:rsid w:val="00AA380A"/>
    <w:rsid w:val="00AA3B65"/>
    <w:rsid w:val="00B61CF6"/>
    <w:rsid w:val="00B91097"/>
    <w:rsid w:val="00BC7554"/>
    <w:rsid w:val="00C047A4"/>
    <w:rsid w:val="00C32EB0"/>
    <w:rsid w:val="00C816EA"/>
    <w:rsid w:val="00CA638D"/>
    <w:rsid w:val="00CB1184"/>
    <w:rsid w:val="00CB1DD2"/>
    <w:rsid w:val="00D573A7"/>
    <w:rsid w:val="00D60246"/>
    <w:rsid w:val="00D97EC9"/>
    <w:rsid w:val="00DD7E2E"/>
    <w:rsid w:val="00DE21F5"/>
    <w:rsid w:val="00E7032A"/>
    <w:rsid w:val="00ED57E3"/>
    <w:rsid w:val="00FB269D"/>
    <w:rsid w:val="00FB4F37"/>
    <w:rsid w:val="00FB7678"/>
    <w:rsid w:val="00FE3B29"/>
    <w:rsid w:val="00FE3C01"/>
    <w:rsid w:val="126F7D69"/>
    <w:rsid w:val="498518DC"/>
    <w:rsid w:val="4D655D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uiPriority w:val="99"/>
    <w:rPr>
      <w:sz w:val="18"/>
      <w:szCs w:val="18"/>
    </w:rPr>
  </w:style>
  <w:style w:type="paragraph" w:styleId="16">
    <w:name w:val="List Paragraph"/>
    <w:basedOn w:val="1"/>
    <w:qFormat/>
    <w:uiPriority w:val="34"/>
    <w:pPr>
      <w:ind w:firstLine="420" w:firstLineChars="200"/>
    </w:pPr>
  </w:style>
  <w:style w:type="table" w:customStyle="1" w:styleId="17">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703</Words>
  <Characters>4009</Characters>
  <Lines>33</Lines>
  <Paragraphs>9</Paragraphs>
  <TotalTime>1</TotalTime>
  <ScaleCrop>false</ScaleCrop>
  <LinksUpToDate>false</LinksUpToDate>
  <CharactersWithSpaces>4703</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2023-09-22T06:47:00Z</dcterms:created>
  <dc:creator>11721</dc:creator>
  <cp:lastModifiedBy>予静</cp:lastModifiedBy>
  <dcterms:modified xsi:type="dcterms:W3CDTF">2023-09-26T16:42:49Z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6D4A51FD0B494367A7CC5FE6C33F79E9_12</vt:lpwstr>
  </property>
</Properties>
</file>