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kinsoku/>
        <w:autoSpaceDN/>
        <w:spacing w:line="560" w:lineRule="exact"/>
        <w:jc w:val="left"/>
        <w:rPr>
          <w:rFonts w:hAnsi="黑体" w:cs="黑体"/>
          <w:b/>
          <w:color w:val="auto"/>
        </w:rPr>
      </w:pPr>
      <w:r>
        <w:rPr>
          <w:rFonts w:hint="eastAsia" w:hAnsi="黑体" w:cs="黑体"/>
          <w:b/>
          <w:color w:val="auto"/>
        </w:rPr>
        <w:t>附件2</w:t>
      </w:r>
    </w:p>
    <w:p>
      <w:pPr>
        <w:widowControl w:val="0"/>
        <w:kinsoku/>
        <w:autoSpaceDN/>
        <w:spacing w:before="161" w:line="560" w:lineRule="exact"/>
        <w:jc w:val="center"/>
        <w:rPr>
          <w:rFonts w:ascii="方正小标宋简体" w:hAnsi="方正小标宋简体" w:eastAsia="方正小标宋简体" w:cs="方正小标宋简体"/>
          <w:color w:val="auto"/>
          <w:spacing w:val="18"/>
          <w:sz w:val="44"/>
          <w:szCs w:val="44"/>
        </w:rPr>
      </w:pPr>
      <w:bookmarkStart w:id="0" w:name="_GoBack"/>
      <w:r>
        <w:rPr>
          <w:rFonts w:hint="eastAsia" w:ascii="方正小标宋简体" w:hAnsi="方正小标宋简体" w:eastAsia="方正小标宋简体" w:cs="方正小标宋简体"/>
          <w:color w:val="auto"/>
          <w:spacing w:val="18"/>
          <w:sz w:val="44"/>
          <w:szCs w:val="44"/>
        </w:rPr>
        <w:t>东南大学人文学院奖学金评审计分标准</w:t>
      </w:r>
      <w:bookmarkEnd w:id="0"/>
    </w:p>
    <w:p>
      <w:pPr>
        <w:widowControl w:val="0"/>
        <w:kinsoku/>
        <w:autoSpaceDN/>
        <w:spacing w:before="161" w:line="560" w:lineRule="exact"/>
        <w:jc w:val="center"/>
        <w:rPr>
          <w:rFonts w:ascii="方正小标宋简体" w:hAnsi="方正小标宋简体" w:eastAsia="方正小标宋简体" w:cs="方正小标宋简体"/>
          <w:color w:val="auto"/>
          <w:spacing w:val="18"/>
          <w:sz w:val="44"/>
          <w:szCs w:val="44"/>
        </w:rPr>
      </w:pPr>
    </w:p>
    <w:p>
      <w:pPr>
        <w:pStyle w:val="10"/>
        <w:widowControl w:val="0"/>
        <w:numPr>
          <w:ilvl w:val="0"/>
          <w:numId w:val="1"/>
        </w:numPr>
        <w:kinsoku/>
        <w:autoSpaceDN/>
        <w:spacing w:line="560" w:lineRule="exact"/>
        <w:ind w:firstLineChars="0"/>
        <w:outlineLvl w:val="0"/>
        <w:rPr>
          <w:rFonts w:ascii="黑体" w:hAnsi="黑体" w:eastAsia="黑体" w:cs="仿宋"/>
          <w:color w:val="auto"/>
          <w:spacing w:val="-1"/>
          <w:position w:val="1"/>
          <w:sz w:val="32"/>
          <w:szCs w:val="32"/>
        </w:rPr>
      </w:pPr>
      <w:r>
        <w:rPr>
          <w:rFonts w:hint="eastAsia" w:ascii="黑体" w:hAnsi="黑体" w:eastAsia="黑体" w:cs="仿宋"/>
          <w:color w:val="auto"/>
          <w:spacing w:val="-1"/>
          <w:position w:val="1"/>
          <w:sz w:val="32"/>
          <w:szCs w:val="32"/>
        </w:rPr>
        <w:t>学习成绩标准</w:t>
      </w:r>
    </w:p>
    <w:p>
      <w:pPr>
        <w:widowControl w:val="0"/>
        <w:tabs>
          <w:tab w:val="left" w:pos="0"/>
        </w:tabs>
        <w:kinsoku/>
        <w:autoSpaceDN/>
        <w:spacing w:line="560" w:lineRule="exact"/>
        <w:ind w:firstLine="628" w:firstLineChars="200"/>
        <w:rPr>
          <w:rFonts w:ascii="仿宋_GB2312" w:hAnsi="仿宋" w:eastAsia="仿宋_GB2312" w:cs="仿宋"/>
          <w:color w:val="auto"/>
          <w:sz w:val="32"/>
          <w:szCs w:val="32"/>
        </w:rPr>
      </w:pPr>
      <w:r>
        <w:rPr>
          <w:rFonts w:hint="eastAsia" w:ascii="仿宋_GB2312" w:hAnsi="仿宋" w:eastAsia="仿宋_GB2312" w:cs="仿宋"/>
          <w:color w:val="auto"/>
          <w:spacing w:val="-3"/>
          <w:sz w:val="32"/>
          <w:szCs w:val="32"/>
        </w:rPr>
        <w:t>参评学生以评定学年的首修平均分参评。</w:t>
      </w:r>
    </w:p>
    <w:p>
      <w:pPr>
        <w:widowControl/>
        <w:numPr>
          <w:ilvl w:val="0"/>
          <w:numId w:val="1"/>
        </w:numPr>
        <w:kinsoku w:val="0"/>
        <w:autoSpaceDE w:val="0"/>
        <w:autoSpaceDN w:val="0"/>
        <w:adjustRightInd w:val="0"/>
        <w:snapToGrid w:val="0"/>
        <w:spacing w:line="560" w:lineRule="exact"/>
        <w:jc w:val="left"/>
        <w:textAlignment w:val="baseline"/>
        <w:outlineLvl w:val="0"/>
        <w:rPr>
          <w:rFonts w:ascii="仿宋_GB2312" w:hAnsi="仿宋" w:eastAsia="仿宋_GB2312" w:cs="仿宋"/>
          <w:b/>
          <w:snapToGrid w:val="0"/>
          <w:spacing w:val="-1"/>
          <w:position w:val="1"/>
          <w:sz w:val="32"/>
          <w:szCs w:val="32"/>
        </w:rPr>
      </w:pPr>
      <w:r>
        <w:rPr>
          <w:rFonts w:hint="eastAsia" w:ascii="黑体" w:hAnsi="黑体" w:eastAsia="黑体" w:cs="仿宋"/>
          <w:snapToGrid w:val="0"/>
          <w:spacing w:val="-1"/>
          <w:position w:val="1"/>
          <w:sz w:val="32"/>
          <w:szCs w:val="32"/>
        </w:rPr>
        <w:t>社会</w:t>
      </w:r>
      <w:r>
        <w:rPr>
          <w:rFonts w:hint="eastAsia" w:ascii="黑体" w:hAnsi="黑体" w:eastAsia="黑体" w:cs="仿宋"/>
          <w:snapToGrid w:val="0"/>
          <w:spacing w:val="-1"/>
          <w:position w:val="1"/>
          <w:sz w:val="32"/>
          <w:szCs w:val="32"/>
          <w:lang w:val="en-US" w:eastAsia="zh-CN"/>
        </w:rPr>
        <w:t>活动及</w:t>
      </w:r>
      <w:r>
        <w:rPr>
          <w:rFonts w:hint="eastAsia" w:ascii="黑体" w:hAnsi="黑体" w:eastAsia="黑体" w:cs="仿宋"/>
          <w:snapToGrid w:val="0"/>
          <w:spacing w:val="-1"/>
          <w:position w:val="1"/>
          <w:sz w:val="32"/>
          <w:szCs w:val="32"/>
        </w:rPr>
        <w:t>学生工作类成绩标准</w:t>
      </w:r>
    </w:p>
    <w:p>
      <w:pPr>
        <w:widowControl w:val="0"/>
        <w:kinsoku/>
        <w:autoSpaceDN/>
        <w:spacing w:line="560" w:lineRule="exact"/>
        <w:ind w:firstLine="624" w:firstLineChars="200"/>
        <w:rPr>
          <w:rFonts w:ascii="仿宋_GB2312" w:hAnsi="仿宋" w:eastAsia="仿宋_GB2312" w:cs="仿宋"/>
          <w:color w:val="auto"/>
          <w:sz w:val="32"/>
          <w:szCs w:val="32"/>
        </w:rPr>
      </w:pPr>
      <w:r>
        <w:rPr>
          <w:rFonts w:hint="eastAsia" w:ascii="仿宋_GB2312" w:hAnsi="仿宋" w:eastAsia="仿宋_GB2312" w:cs="仿宋"/>
          <w:color w:val="auto"/>
          <w:spacing w:val="-4"/>
          <w:sz w:val="32"/>
          <w:szCs w:val="32"/>
        </w:rPr>
        <w:t>学生本人填写《</w:t>
      </w:r>
      <w:r>
        <w:rPr>
          <w:rFonts w:hint="eastAsia" w:ascii="仿宋_GB2312" w:hAnsi="仿宋" w:eastAsia="仿宋_GB2312" w:cs="仿宋"/>
          <w:color w:val="auto"/>
          <w:spacing w:val="-10"/>
          <w:sz w:val="32"/>
          <w:szCs w:val="32"/>
        </w:rPr>
        <w:t>东南大学人文学院奖学金申请表</w:t>
      </w:r>
      <w:r>
        <w:rPr>
          <w:rFonts w:hint="eastAsia" w:ascii="仿宋_GB2312" w:hAnsi="仿宋" w:eastAsia="仿宋_GB2312" w:cs="仿宋"/>
          <w:color w:val="auto"/>
          <w:spacing w:val="-2"/>
          <w:sz w:val="32"/>
          <w:szCs w:val="32"/>
        </w:rPr>
        <w:t>》（附件 3）中</w:t>
      </w:r>
      <w:r>
        <w:rPr>
          <w:rFonts w:hint="eastAsia" w:ascii="仿宋_GB2312" w:hAnsi="仿宋" w:eastAsia="仿宋_GB2312" w:cs="仿宋"/>
          <w:color w:val="auto"/>
          <w:spacing w:val="-4"/>
          <w:sz w:val="32"/>
          <w:szCs w:val="32"/>
        </w:rPr>
        <w:t>社会</w:t>
      </w:r>
      <w:r>
        <w:rPr>
          <w:rFonts w:hint="eastAsia" w:ascii="仿宋_GB2312" w:hAnsi="仿宋" w:eastAsia="仿宋_GB2312" w:cs="仿宋"/>
          <w:color w:val="auto"/>
          <w:spacing w:val="-4"/>
          <w:sz w:val="32"/>
          <w:szCs w:val="32"/>
          <w:lang w:val="en-US" w:eastAsia="zh-CN"/>
        </w:rPr>
        <w:t>活动及</w:t>
      </w:r>
      <w:r>
        <w:rPr>
          <w:rFonts w:hint="eastAsia" w:ascii="仿宋_GB2312" w:hAnsi="仿宋" w:eastAsia="仿宋_GB2312" w:cs="仿宋"/>
          <w:color w:val="auto"/>
          <w:spacing w:val="-4"/>
          <w:sz w:val="32"/>
          <w:szCs w:val="32"/>
        </w:rPr>
        <w:t>学生工作类</w:t>
      </w:r>
      <w:r>
        <w:rPr>
          <w:rFonts w:hint="eastAsia" w:ascii="仿宋_GB2312" w:hAnsi="仿宋" w:eastAsia="仿宋_GB2312" w:cs="仿宋"/>
          <w:color w:val="auto"/>
          <w:spacing w:val="-2"/>
          <w:sz w:val="32"/>
          <w:szCs w:val="32"/>
        </w:rPr>
        <w:t>积分认定部分，</w:t>
      </w:r>
      <w:r>
        <w:rPr>
          <w:rFonts w:hint="eastAsia" w:ascii="仿宋_GB2312" w:hAnsi="仿宋" w:eastAsia="仿宋_GB2312" w:cs="仿宋"/>
          <w:color w:val="auto"/>
          <w:sz w:val="32"/>
          <w:szCs w:val="32"/>
        </w:rPr>
        <w:t>连同相关</w:t>
      </w:r>
      <w:r>
        <w:rPr>
          <w:rFonts w:hint="eastAsia" w:ascii="仿宋_GB2312" w:hAnsi="仿宋" w:eastAsia="仿宋_GB2312" w:cs="仿宋"/>
          <w:color w:val="auto"/>
          <w:spacing w:val="-8"/>
          <w:sz w:val="32"/>
          <w:szCs w:val="32"/>
        </w:rPr>
        <w:t>证明材料</w:t>
      </w:r>
      <w:r>
        <w:rPr>
          <w:rFonts w:hint="eastAsia" w:ascii="仿宋_GB2312" w:hAnsi="仿宋" w:eastAsia="仿宋_GB2312" w:cs="仿宋"/>
          <w:color w:val="auto"/>
          <w:spacing w:val="-5"/>
          <w:sz w:val="32"/>
          <w:szCs w:val="32"/>
        </w:rPr>
        <w:t>提</w:t>
      </w:r>
      <w:r>
        <w:rPr>
          <w:rFonts w:hint="eastAsia" w:ascii="仿宋_GB2312" w:hAnsi="仿宋" w:eastAsia="仿宋_GB2312" w:cs="仿宋"/>
          <w:color w:val="auto"/>
          <w:spacing w:val="-4"/>
          <w:sz w:val="32"/>
          <w:szCs w:val="32"/>
        </w:rPr>
        <w:t>交至院学办；</w:t>
      </w:r>
      <w:r>
        <w:rPr>
          <w:rFonts w:hint="eastAsia" w:ascii="仿宋_GB2312" w:hAnsi="仿宋" w:eastAsia="仿宋_GB2312" w:cs="仿宋"/>
          <w:color w:val="auto"/>
          <w:spacing w:val="-2"/>
          <w:sz w:val="32"/>
          <w:szCs w:val="32"/>
        </w:rPr>
        <w:t>由院</w:t>
      </w:r>
      <w:r>
        <w:rPr>
          <w:rFonts w:hint="eastAsia" w:ascii="仿宋_GB2312" w:hAnsi="仿宋" w:eastAsia="仿宋_GB2312" w:cs="仿宋"/>
          <w:color w:val="auto"/>
          <w:spacing w:val="-1"/>
          <w:sz w:val="32"/>
          <w:szCs w:val="32"/>
        </w:rPr>
        <w:t>学办根据《</w:t>
      </w:r>
      <w:r>
        <w:rPr>
          <w:rFonts w:hint="eastAsia" w:ascii="仿宋_GB2312" w:hAnsi="仿宋" w:eastAsia="仿宋_GB2312" w:cs="仿宋"/>
          <w:color w:val="auto"/>
          <w:spacing w:val="-1"/>
          <w:sz w:val="32"/>
          <w:szCs w:val="32"/>
          <w:lang w:val="en-US" w:eastAsia="zh-CN"/>
        </w:rPr>
        <w:t>社会活动及学生工作</w:t>
      </w:r>
      <w:r>
        <w:rPr>
          <w:rFonts w:hint="eastAsia" w:ascii="仿宋_GB2312" w:hAnsi="仿宋" w:eastAsia="仿宋_GB2312" w:cs="仿宋"/>
          <w:color w:val="auto"/>
          <w:spacing w:val="-1"/>
          <w:sz w:val="32"/>
          <w:szCs w:val="32"/>
        </w:rPr>
        <w:t>类积分计分表》完成计</w:t>
      </w:r>
      <w:r>
        <w:rPr>
          <w:rFonts w:hint="eastAsia" w:ascii="仿宋_GB2312" w:hAnsi="仿宋" w:eastAsia="仿宋_GB2312" w:cs="仿宋"/>
          <w:color w:val="auto"/>
          <w:sz w:val="32"/>
          <w:szCs w:val="32"/>
        </w:rPr>
        <w:t>分工作。</w:t>
      </w:r>
    </w:p>
    <w:p>
      <w:pPr>
        <w:pStyle w:val="10"/>
        <w:widowControl w:val="0"/>
        <w:numPr>
          <w:ilvl w:val="0"/>
          <w:numId w:val="1"/>
        </w:numPr>
        <w:kinsoku/>
        <w:autoSpaceDN/>
        <w:spacing w:line="560" w:lineRule="exact"/>
        <w:ind w:firstLineChars="0"/>
        <w:outlineLvl w:val="0"/>
        <w:rPr>
          <w:rFonts w:ascii="黑体" w:hAnsi="黑体" w:eastAsia="黑体" w:cs="仿宋"/>
          <w:color w:val="auto"/>
          <w:spacing w:val="-1"/>
          <w:position w:val="1"/>
          <w:sz w:val="32"/>
          <w:szCs w:val="32"/>
        </w:rPr>
      </w:pPr>
      <w:r>
        <w:rPr>
          <w:rFonts w:hint="eastAsia" w:ascii="黑体" w:hAnsi="黑体" w:eastAsia="黑体" w:cs="仿宋"/>
          <w:color w:val="auto"/>
          <w:spacing w:val="-1"/>
          <w:position w:val="1"/>
          <w:sz w:val="32"/>
          <w:szCs w:val="32"/>
        </w:rPr>
        <w:t>学科竞赛及科研活动类成绩标准</w:t>
      </w:r>
    </w:p>
    <w:p>
      <w:pPr>
        <w:widowControl w:val="0"/>
        <w:kinsoku/>
        <w:autoSpaceDN/>
        <w:spacing w:line="560" w:lineRule="exact"/>
        <w:ind w:firstLine="636"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pacing w:val="-1"/>
          <w:sz w:val="32"/>
          <w:szCs w:val="32"/>
        </w:rPr>
        <w:t>学生本人填写</w:t>
      </w:r>
      <w:r>
        <w:rPr>
          <w:rFonts w:hint="eastAsia" w:ascii="仿宋_GB2312" w:hAnsi="仿宋" w:eastAsia="仿宋_GB2312" w:cs="仿宋"/>
          <w:color w:val="auto"/>
          <w:spacing w:val="-4"/>
          <w:sz w:val="32"/>
          <w:szCs w:val="32"/>
        </w:rPr>
        <w:t>《</w:t>
      </w:r>
      <w:r>
        <w:rPr>
          <w:rFonts w:hint="eastAsia" w:ascii="仿宋_GB2312" w:hAnsi="仿宋" w:eastAsia="仿宋_GB2312" w:cs="仿宋"/>
          <w:color w:val="auto"/>
          <w:spacing w:val="-10"/>
          <w:sz w:val="32"/>
          <w:szCs w:val="32"/>
        </w:rPr>
        <w:t>东南大学人文学院奖学金申请表</w:t>
      </w:r>
      <w:r>
        <w:rPr>
          <w:rFonts w:hint="eastAsia" w:ascii="仿宋_GB2312" w:hAnsi="仿宋" w:eastAsia="仿宋_GB2312" w:cs="仿宋"/>
          <w:color w:val="auto"/>
          <w:spacing w:val="-2"/>
          <w:sz w:val="32"/>
          <w:szCs w:val="32"/>
        </w:rPr>
        <w:t>》（附件 3）中</w:t>
      </w:r>
      <w:r>
        <w:rPr>
          <w:rFonts w:hint="eastAsia" w:ascii="仿宋_GB2312" w:hAnsi="仿宋" w:eastAsia="仿宋_GB2312" w:cs="仿宋"/>
          <w:color w:val="auto"/>
          <w:spacing w:val="-1"/>
          <w:sz w:val="32"/>
          <w:szCs w:val="32"/>
        </w:rPr>
        <w:t>学术</w:t>
      </w:r>
      <w:r>
        <w:rPr>
          <w:rFonts w:hint="eastAsia" w:ascii="仿宋_GB2312" w:hAnsi="仿宋" w:eastAsia="仿宋_GB2312" w:cs="仿宋"/>
          <w:color w:val="auto"/>
          <w:sz w:val="32"/>
          <w:szCs w:val="32"/>
        </w:rPr>
        <w:t>创新能力</w:t>
      </w:r>
      <w:r>
        <w:rPr>
          <w:rFonts w:hint="eastAsia" w:ascii="仿宋_GB2312" w:hAnsi="仿宋" w:eastAsia="仿宋_GB2312" w:cs="仿宋"/>
          <w:color w:val="auto"/>
          <w:spacing w:val="-2"/>
          <w:sz w:val="32"/>
          <w:szCs w:val="32"/>
        </w:rPr>
        <w:t>部分</w:t>
      </w:r>
      <w:r>
        <w:rPr>
          <w:rFonts w:hint="eastAsia" w:ascii="仿宋_GB2312" w:hAnsi="仿宋" w:eastAsia="仿宋_GB2312" w:cs="仿宋"/>
          <w:color w:val="auto"/>
          <w:sz w:val="32"/>
          <w:szCs w:val="32"/>
        </w:rPr>
        <w:t>，连同相关</w:t>
      </w:r>
      <w:r>
        <w:rPr>
          <w:rFonts w:hint="eastAsia" w:ascii="仿宋_GB2312" w:hAnsi="仿宋" w:eastAsia="仿宋_GB2312" w:cs="仿宋"/>
          <w:color w:val="auto"/>
          <w:spacing w:val="-8"/>
          <w:sz w:val="32"/>
          <w:szCs w:val="32"/>
        </w:rPr>
        <w:t>证明材料</w:t>
      </w:r>
      <w:r>
        <w:rPr>
          <w:rFonts w:hint="eastAsia" w:ascii="仿宋_GB2312" w:hAnsi="仿宋" w:eastAsia="仿宋_GB2312" w:cs="仿宋"/>
          <w:color w:val="auto"/>
          <w:spacing w:val="-5"/>
          <w:sz w:val="32"/>
          <w:szCs w:val="32"/>
        </w:rPr>
        <w:t>提</w:t>
      </w:r>
      <w:r>
        <w:rPr>
          <w:rFonts w:hint="eastAsia" w:ascii="仿宋_GB2312" w:hAnsi="仿宋" w:eastAsia="仿宋_GB2312" w:cs="仿宋"/>
          <w:color w:val="auto"/>
          <w:spacing w:val="-4"/>
          <w:sz w:val="32"/>
          <w:szCs w:val="32"/>
        </w:rPr>
        <w:t>交至院学办；根据学生的申请材料或答辩情况，由评委老师给予不高于5分的加分，取各评委加分的平</w:t>
      </w:r>
      <w:r>
        <w:rPr>
          <w:rFonts w:hint="eastAsia" w:ascii="仿宋_GB2312" w:hAnsi="仿宋" w:eastAsia="仿宋_GB2312" w:cs="仿宋"/>
          <w:color w:val="auto"/>
          <w:spacing w:val="-1"/>
          <w:sz w:val="32"/>
          <w:szCs w:val="32"/>
        </w:rPr>
        <w:t>均值为该学生的此类得</w:t>
      </w:r>
      <w:r>
        <w:rPr>
          <w:rFonts w:hint="eastAsia" w:ascii="仿宋_GB2312" w:hAnsi="仿宋" w:eastAsia="仿宋_GB2312" w:cs="仿宋"/>
          <w:color w:val="auto"/>
          <w:sz w:val="32"/>
          <w:szCs w:val="32"/>
        </w:rPr>
        <w:t>分。</w:t>
      </w:r>
    </w:p>
    <w:p>
      <w:pPr>
        <w:pStyle w:val="10"/>
        <w:widowControl w:val="0"/>
        <w:numPr>
          <w:ilvl w:val="0"/>
          <w:numId w:val="1"/>
        </w:numPr>
        <w:kinsoku/>
        <w:autoSpaceDN/>
        <w:spacing w:line="560" w:lineRule="exact"/>
        <w:ind w:firstLineChars="0"/>
        <w:outlineLvl w:val="0"/>
        <w:rPr>
          <w:rFonts w:ascii="黑体" w:hAnsi="黑体" w:eastAsia="黑体" w:cs="仿宋"/>
          <w:color w:val="auto"/>
          <w:spacing w:val="-1"/>
          <w:position w:val="1"/>
          <w:sz w:val="32"/>
          <w:szCs w:val="32"/>
        </w:rPr>
      </w:pPr>
      <w:r>
        <w:rPr>
          <w:rFonts w:hint="eastAsia" w:ascii="黑体" w:hAnsi="黑体" w:eastAsia="黑体" w:cs="仿宋"/>
          <w:color w:val="auto"/>
          <w:spacing w:val="-1"/>
          <w:position w:val="1"/>
          <w:sz w:val="32"/>
          <w:szCs w:val="32"/>
        </w:rPr>
        <w:t>其他</w:t>
      </w:r>
    </w:p>
    <w:p>
      <w:pPr>
        <w:widowControl w:val="0"/>
        <w:kinsoku/>
        <w:autoSpaceDN/>
        <w:spacing w:line="56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以上标准由评审小组授权院学办负责解释，并根据实际情况及时向评审小组反馈调整。</w:t>
      </w:r>
    </w:p>
    <w:p>
      <w:pPr>
        <w:widowControl w:val="0"/>
        <w:kinsoku/>
        <w:autoSpaceDN/>
        <w:spacing w:line="560" w:lineRule="exact"/>
        <w:ind w:firstLine="640" w:firstLineChars="200"/>
        <w:outlineLvl w:val="0"/>
        <w:rPr>
          <w:rFonts w:ascii="仿宋_GB2312" w:hAnsi="仿宋" w:eastAsia="仿宋_GB2312" w:cs="仿宋"/>
          <w:color w:val="auto"/>
          <w:sz w:val="32"/>
          <w:szCs w:val="32"/>
        </w:rPr>
      </w:pPr>
      <w:r>
        <w:rPr>
          <w:rFonts w:ascii="仿宋_GB2312" w:hAnsi="仿宋" w:eastAsia="仿宋_GB2312" w:cs="仿宋"/>
          <w:color w:val="auto"/>
          <w:sz w:val="32"/>
          <w:szCs w:val="32"/>
        </w:rPr>
        <w:t>2.</w:t>
      </w:r>
      <w:r>
        <w:rPr>
          <w:rFonts w:hint="eastAsia" w:ascii="仿宋_GB2312" w:hAnsi="仿宋" w:eastAsia="仿宋_GB2312" w:cs="仿宋"/>
          <w:color w:val="auto"/>
          <w:sz w:val="32"/>
          <w:szCs w:val="32"/>
        </w:rPr>
        <w:t>计分标准未列举的特殊情况由评审小组讨论决定。</w:t>
      </w:r>
    </w:p>
    <w:p>
      <w:pPr>
        <w:widowControl w:val="0"/>
        <w:kinsoku/>
        <w:autoSpaceDN/>
        <w:spacing w:line="560" w:lineRule="exact"/>
        <w:ind w:firstLine="640" w:firstLineChars="200"/>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3</w:t>
      </w:r>
      <w:r>
        <w:rPr>
          <w:rFonts w:ascii="仿宋_GB2312" w:hAnsi="仿宋" w:eastAsia="仿宋_GB2312" w:cs="仿宋"/>
          <w:color w:val="auto"/>
          <w:sz w:val="32"/>
          <w:szCs w:val="32"/>
        </w:rPr>
        <w:t>.</w:t>
      </w:r>
      <w:r>
        <w:rPr>
          <w:rFonts w:hint="eastAsia" w:ascii="仿宋_GB2312" w:hAnsi="仿宋" w:eastAsia="仿宋_GB2312" w:cs="仿宋"/>
          <w:color w:val="auto"/>
          <w:sz w:val="32"/>
          <w:szCs w:val="32"/>
        </w:rPr>
        <w:t>若伪造证明骗取得分，一经发现，取消其所有后续评奖资格。</w:t>
      </w:r>
    </w:p>
    <w:p>
      <w:pPr>
        <w:rPr>
          <w:color w:val="auto"/>
        </w:rPr>
        <w:sectPr>
          <w:pgSz w:w="11907" w:h="16839"/>
          <w:pgMar w:top="1440" w:right="1800" w:bottom="1440" w:left="1800" w:header="0" w:footer="0" w:gutter="0"/>
          <w:cols w:space="720" w:num="1"/>
        </w:sect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baseline"/>
        <w:rPr>
          <w:rFonts w:ascii="方正小标宋简体" w:hAnsi="黑体" w:eastAsia="方正小标宋简体" w:cs="黑体"/>
          <w:color w:val="auto"/>
          <w:sz w:val="44"/>
          <w:szCs w:val="44"/>
        </w:rPr>
      </w:pPr>
      <w:r>
        <w:rPr>
          <w:rFonts w:hint="eastAsia" w:ascii="方正小标宋简体" w:eastAsia="方正小标宋简体"/>
          <w:color w:val="auto"/>
          <w:sz w:val="44"/>
          <w:szCs w:val="44"/>
        </w:rPr>
        <w:t>东南大学</w:t>
      </w:r>
      <w:r>
        <w:rPr>
          <w:rFonts w:hint="eastAsia" w:ascii="方正小标宋简体" w:eastAsia="方正小标宋简体"/>
          <w:color w:val="auto"/>
          <w:sz w:val="44"/>
          <w:szCs w:val="44"/>
          <w:lang w:val="en-US" w:eastAsia="zh-CN"/>
        </w:rPr>
        <w:t>人文学院</w:t>
      </w:r>
      <w:r>
        <w:rPr>
          <w:rFonts w:hint="eastAsia" w:ascii="方正小标宋简体" w:hAnsi="黑体" w:eastAsia="方正小标宋简体" w:cs="黑体"/>
          <w:color w:val="auto"/>
          <w:spacing w:val="-1"/>
          <w:sz w:val="44"/>
          <w:szCs w:val="44"/>
        </w:rPr>
        <w:t>社会</w:t>
      </w:r>
      <w:r>
        <w:rPr>
          <w:rFonts w:hint="eastAsia" w:ascii="方正小标宋简体" w:hAnsi="黑体" w:eastAsia="方正小标宋简体" w:cs="黑体"/>
          <w:color w:val="auto"/>
          <w:spacing w:val="-1"/>
          <w:sz w:val="44"/>
          <w:szCs w:val="44"/>
          <w:lang w:val="en-US" w:eastAsia="zh-CN"/>
        </w:rPr>
        <w:t>活动及</w:t>
      </w:r>
      <w:r>
        <w:rPr>
          <w:rFonts w:hint="eastAsia" w:ascii="方正小标宋简体" w:hAnsi="黑体" w:eastAsia="方正小标宋简体" w:cs="黑体"/>
          <w:color w:val="auto"/>
          <w:spacing w:val="-2"/>
          <w:sz w:val="44"/>
          <w:szCs w:val="44"/>
        </w:rPr>
        <w:t>学生工作</w:t>
      </w:r>
      <w:r>
        <w:rPr>
          <w:rFonts w:hint="eastAsia" w:ascii="方正小标宋简体" w:hAnsi="黑体" w:eastAsia="方正小标宋简体" w:cs="黑体"/>
          <w:color w:val="auto"/>
          <w:spacing w:val="-1"/>
          <w:sz w:val="44"/>
          <w:szCs w:val="44"/>
        </w:rPr>
        <w:t>类积分计分表</w:t>
      </w:r>
    </w:p>
    <w:p>
      <w:pPr>
        <w:widowControl w:val="0"/>
        <w:numPr>
          <w:ilvl w:val="0"/>
          <w:numId w:val="2"/>
        </w:numPr>
        <w:kinsoku/>
        <w:autoSpaceDN/>
        <w:spacing w:before="30" w:line="560" w:lineRule="exact"/>
        <w:ind w:left="9"/>
        <w:outlineLvl w:val="6"/>
        <w:rPr>
          <w:rFonts w:ascii="宋体" w:hAnsi="宋体" w:eastAsia="宋体" w:cs="宋体"/>
          <w:color w:val="auto"/>
          <w:sz w:val="24"/>
          <w:szCs w:val="24"/>
        </w:rPr>
      </w:pPr>
      <w:r>
        <w:rPr>
          <w:rFonts w:ascii="宋体" w:hAnsi="宋体" w:eastAsia="宋体" w:cs="宋体"/>
          <w:color w:val="auto"/>
          <w:spacing w:val="-1"/>
          <w:sz w:val="24"/>
          <w:szCs w:val="24"/>
        </w:rPr>
        <w:t>社会活动及获</w:t>
      </w:r>
      <w:r>
        <w:rPr>
          <w:rFonts w:ascii="宋体" w:hAnsi="宋体" w:eastAsia="宋体" w:cs="宋体"/>
          <w:color w:val="auto"/>
          <w:sz w:val="24"/>
          <w:szCs w:val="24"/>
        </w:rPr>
        <w:t>得荣誉</w:t>
      </w:r>
      <w:r>
        <w:rPr>
          <w:rFonts w:hint="eastAsia" w:ascii="宋体" w:hAnsi="宋体" w:eastAsia="宋体" w:cs="宋体"/>
          <w:color w:val="auto"/>
          <w:sz w:val="24"/>
          <w:szCs w:val="24"/>
          <w:lang w:val="en-US" w:eastAsia="zh-CN"/>
        </w:rPr>
        <w:t>与奖励</w:t>
      </w:r>
      <w:r>
        <w:rPr>
          <w:rFonts w:ascii="宋体" w:hAnsi="宋体" w:eastAsia="宋体" w:cs="宋体"/>
          <w:color w:val="auto"/>
          <w:sz w:val="24"/>
          <w:szCs w:val="24"/>
        </w:rPr>
        <w:t>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60</w:t>
      </w:r>
      <w:r>
        <w:rPr>
          <w:rFonts w:hint="eastAsia" w:ascii="仿宋" w:hAnsi="仿宋" w:eastAsia="仿宋" w:cs="仿宋"/>
          <w:bCs/>
          <w:color w:val="FF0000"/>
        </w:rPr>
        <w:t>分）</w:t>
      </w:r>
    </w:p>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ascii="宋体" w:hAnsi="宋体" w:eastAsia="宋体" w:cs="宋体"/>
          <w:color w:val="auto"/>
          <w:sz w:val="24"/>
          <w:szCs w:val="24"/>
        </w:rPr>
      </w:pPr>
      <w:r>
        <w:rPr>
          <w:rFonts w:hint="eastAsia" w:ascii="宋体" w:hAnsi="宋体" w:eastAsia="宋体" w:cs="宋体"/>
          <w:color w:val="auto"/>
          <w:sz w:val="24"/>
          <w:szCs w:val="24"/>
        </w:rPr>
        <w:t>参与社会活动</w:t>
      </w:r>
      <w:r>
        <w:rPr>
          <w:rFonts w:hint="eastAsia" w:ascii="宋体" w:hAnsi="宋体" w:eastAsia="宋体" w:cs="宋体"/>
          <w:color w:val="auto"/>
          <w:sz w:val="24"/>
          <w:szCs w:val="24"/>
          <w:lang w:val="en-US" w:eastAsia="zh-CN"/>
        </w:rPr>
        <w:t>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8</w:t>
      </w:r>
      <w:r>
        <w:rPr>
          <w:rFonts w:hint="eastAsia" w:ascii="仿宋" w:hAnsi="仿宋" w:eastAsia="仿宋" w:cs="仿宋"/>
          <w:bCs/>
          <w:color w:val="FF0000"/>
        </w:rPr>
        <w:t>分）</w:t>
      </w:r>
    </w:p>
    <w:tbl>
      <w:tblPr>
        <w:tblStyle w:val="11"/>
        <w:tblW w:w="5014"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945"/>
        <w:gridCol w:w="1929"/>
        <w:gridCol w:w="1382"/>
        <w:gridCol w:w="1703"/>
        <w:gridCol w:w="1873"/>
        <w:gridCol w:w="561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53" w:type="pct"/>
            <w:vMerge w:val="restart"/>
            <w:vAlign w:val="center"/>
          </w:tcPr>
          <w:p>
            <w:pPr>
              <w:widowControl w:val="0"/>
              <w:kinsoku/>
              <w:autoSpaceDN/>
              <w:jc w:val="center"/>
              <w:rPr>
                <w:rFonts w:ascii="楷体" w:hAnsi="楷体" w:eastAsia="楷体" w:cs="楷体"/>
                <w:color w:val="auto"/>
              </w:rPr>
            </w:pPr>
            <w:r>
              <w:rPr>
                <w:rFonts w:hint="eastAsia" w:ascii="楷体" w:hAnsi="楷体" w:eastAsia="楷体" w:cs="楷体"/>
                <w:color w:val="auto"/>
              </w:rPr>
              <w:t>类别</w:t>
            </w:r>
          </w:p>
        </w:tc>
        <w:tc>
          <w:tcPr>
            <w:tcW w:w="624" w:type="pct"/>
            <w:vMerge w:val="restart"/>
            <w:tcBorders>
              <w:bottom w:val="nil"/>
            </w:tcBorders>
            <w:vAlign w:val="center"/>
          </w:tcPr>
          <w:p>
            <w:pPr>
              <w:widowControl w:val="0"/>
              <w:kinsoku/>
              <w:autoSpaceDN/>
              <w:spacing w:before="34"/>
              <w:jc w:val="center"/>
              <w:rPr>
                <w:rFonts w:ascii="楷体" w:hAnsi="楷体" w:eastAsia="楷体" w:cs="楷体"/>
                <w:color w:val="auto"/>
              </w:rPr>
            </w:pPr>
            <w:r>
              <w:rPr>
                <w:rFonts w:hint="eastAsia" w:ascii="楷体" w:hAnsi="楷体" w:eastAsia="楷体" w:cs="楷体"/>
                <w:color w:val="auto"/>
                <w:spacing w:val="-2"/>
              </w:rPr>
              <w:t>单人参与</w:t>
            </w:r>
          </w:p>
        </w:tc>
        <w:tc>
          <w:tcPr>
            <w:tcW w:w="1604" w:type="pct"/>
            <w:gridSpan w:val="3"/>
            <w:vAlign w:val="center"/>
          </w:tcPr>
          <w:p>
            <w:pPr>
              <w:widowControl w:val="0"/>
              <w:kinsoku/>
              <w:autoSpaceDN/>
              <w:spacing w:before="29"/>
              <w:ind w:left="1469"/>
              <w:jc w:val="both"/>
              <w:rPr>
                <w:rFonts w:ascii="楷体" w:hAnsi="楷体" w:eastAsia="楷体" w:cs="楷体"/>
                <w:color w:val="auto"/>
              </w:rPr>
            </w:pPr>
            <w:r>
              <w:rPr>
                <w:rFonts w:hint="eastAsia" w:ascii="楷体" w:hAnsi="楷体" w:eastAsia="楷体" w:cs="楷体"/>
                <w:color w:val="auto"/>
                <w:spacing w:val="-1"/>
              </w:rPr>
              <w:t>集体参</w:t>
            </w:r>
            <w:r>
              <w:rPr>
                <w:rFonts w:hint="eastAsia" w:ascii="楷体" w:hAnsi="楷体" w:eastAsia="楷体" w:cs="楷体"/>
                <w:color w:val="auto"/>
              </w:rPr>
              <w:t>与</w:t>
            </w:r>
          </w:p>
        </w:tc>
        <w:tc>
          <w:tcPr>
            <w:tcW w:w="1818" w:type="pct"/>
            <w:vMerge w:val="restart"/>
            <w:vAlign w:val="center"/>
          </w:tcPr>
          <w:p>
            <w:pPr>
              <w:widowControl w:val="0"/>
              <w:kinsoku/>
              <w:autoSpaceDN/>
              <w:jc w:val="center"/>
              <w:rPr>
                <w:rFonts w:ascii="楷体" w:hAnsi="楷体" w:eastAsia="楷体" w:cs="楷体"/>
                <w:color w:val="auto"/>
              </w:rPr>
            </w:pPr>
            <w:r>
              <w:rPr>
                <w:rFonts w:hint="eastAsia" w:ascii="楷体" w:hAnsi="楷体" w:eastAsia="楷体" w:cs="楷体"/>
                <w:color w:val="auto"/>
              </w:rPr>
              <w:t>说明</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53" w:type="pct"/>
            <w:vMerge w:val="continue"/>
            <w:tcBorders>
              <w:top w:val="nil"/>
            </w:tcBorders>
            <w:vAlign w:val="center"/>
          </w:tcPr>
          <w:p>
            <w:pPr>
              <w:widowControl w:val="0"/>
              <w:kinsoku/>
              <w:autoSpaceDN/>
              <w:jc w:val="center"/>
              <w:rPr>
                <w:rFonts w:ascii="楷体" w:hAnsi="楷体" w:eastAsia="楷体" w:cs="楷体"/>
                <w:color w:val="auto"/>
              </w:rPr>
            </w:pPr>
          </w:p>
        </w:tc>
        <w:tc>
          <w:tcPr>
            <w:tcW w:w="624" w:type="pct"/>
            <w:vMerge w:val="continue"/>
            <w:tcBorders>
              <w:top w:val="nil"/>
            </w:tcBorders>
            <w:vAlign w:val="center"/>
          </w:tcPr>
          <w:p>
            <w:pPr>
              <w:widowControl w:val="0"/>
              <w:kinsoku/>
              <w:autoSpaceDN/>
              <w:jc w:val="center"/>
              <w:rPr>
                <w:rFonts w:ascii="楷体" w:hAnsi="楷体" w:eastAsia="楷体" w:cs="楷体"/>
                <w:color w:val="auto"/>
              </w:rPr>
            </w:pPr>
          </w:p>
        </w:tc>
        <w:tc>
          <w:tcPr>
            <w:tcW w:w="447" w:type="pct"/>
            <w:vAlign w:val="center"/>
          </w:tcPr>
          <w:p>
            <w:pPr>
              <w:widowControl w:val="0"/>
              <w:kinsoku/>
              <w:autoSpaceDN/>
              <w:spacing w:before="28"/>
              <w:ind w:left="236" w:firstLine="204" w:firstLineChars="100"/>
              <w:jc w:val="both"/>
              <w:rPr>
                <w:rFonts w:ascii="楷体" w:hAnsi="楷体" w:eastAsia="楷体" w:cs="楷体"/>
                <w:color w:val="auto"/>
              </w:rPr>
            </w:pPr>
            <w:r>
              <w:rPr>
                <w:rFonts w:hint="eastAsia" w:ascii="楷体" w:hAnsi="楷体" w:eastAsia="楷体" w:cs="楷体"/>
                <w:color w:val="auto"/>
                <w:spacing w:val="-3"/>
              </w:rPr>
              <w:t>负责人</w:t>
            </w:r>
          </w:p>
        </w:tc>
        <w:tc>
          <w:tcPr>
            <w:tcW w:w="551" w:type="pct"/>
            <w:vAlign w:val="center"/>
          </w:tcPr>
          <w:p>
            <w:pPr>
              <w:widowControl w:val="0"/>
              <w:kinsoku/>
              <w:autoSpaceDN/>
              <w:spacing w:before="28"/>
              <w:ind w:left="154"/>
              <w:jc w:val="center"/>
              <w:rPr>
                <w:rFonts w:ascii="楷体" w:hAnsi="楷体" w:eastAsia="楷体" w:cs="楷体"/>
                <w:color w:val="auto"/>
              </w:rPr>
            </w:pPr>
            <w:r>
              <w:rPr>
                <w:rFonts w:hint="eastAsia" w:ascii="楷体" w:hAnsi="楷体" w:eastAsia="楷体" w:cs="楷体"/>
                <w:color w:val="auto"/>
                <w:spacing w:val="-1"/>
              </w:rPr>
              <w:t>主要参与</w:t>
            </w:r>
            <w:r>
              <w:rPr>
                <w:rFonts w:hint="eastAsia" w:ascii="楷体" w:hAnsi="楷体" w:eastAsia="楷体" w:cs="楷体"/>
                <w:color w:val="auto"/>
              </w:rPr>
              <w:t>人</w:t>
            </w:r>
          </w:p>
        </w:tc>
        <w:tc>
          <w:tcPr>
            <w:tcW w:w="606" w:type="pct"/>
            <w:vAlign w:val="center"/>
          </w:tcPr>
          <w:p>
            <w:pPr>
              <w:widowControl w:val="0"/>
              <w:kinsoku/>
              <w:autoSpaceDN/>
              <w:spacing w:before="28"/>
              <w:ind w:left="151"/>
              <w:jc w:val="center"/>
              <w:rPr>
                <w:rFonts w:ascii="楷体" w:hAnsi="楷体" w:eastAsia="楷体" w:cs="楷体"/>
                <w:color w:val="auto"/>
              </w:rPr>
            </w:pPr>
            <w:r>
              <w:rPr>
                <w:rFonts w:hint="eastAsia" w:ascii="楷体" w:hAnsi="楷体" w:eastAsia="楷体" w:cs="楷体"/>
                <w:color w:val="auto"/>
                <w:spacing w:val="-1"/>
              </w:rPr>
              <w:t>其他参</w:t>
            </w:r>
            <w:r>
              <w:rPr>
                <w:rFonts w:hint="eastAsia" w:ascii="楷体" w:hAnsi="楷体" w:eastAsia="楷体" w:cs="楷体"/>
                <w:color w:val="auto"/>
              </w:rPr>
              <w:t>与人</w:t>
            </w:r>
          </w:p>
        </w:tc>
        <w:tc>
          <w:tcPr>
            <w:tcW w:w="1818" w:type="pct"/>
            <w:vMerge w:val="continue"/>
            <w:tcBorders>
              <w:top w:val="nil"/>
            </w:tcBorders>
            <w:vAlign w:val="center"/>
          </w:tcPr>
          <w:p>
            <w:pPr>
              <w:widowControl w:val="0"/>
              <w:kinsoku/>
              <w:autoSpaceDN/>
              <w:jc w:val="center"/>
              <w:rPr>
                <w:rFonts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42" w:hRule="atLeast"/>
          <w:jc w:val="center"/>
        </w:trPr>
        <w:tc>
          <w:tcPr>
            <w:tcW w:w="953" w:type="pct"/>
            <w:vAlign w:val="center"/>
          </w:tcPr>
          <w:p>
            <w:pPr>
              <w:widowControl w:val="0"/>
              <w:kinsoku/>
              <w:autoSpaceDN/>
              <w:spacing w:before="30"/>
              <w:jc w:val="center"/>
              <w:rPr>
                <w:rFonts w:ascii="楷体" w:hAnsi="楷体" w:eastAsia="楷体" w:cs="楷体"/>
                <w:color w:val="auto"/>
              </w:rPr>
            </w:pPr>
            <w:r>
              <w:rPr>
                <w:rFonts w:hint="eastAsia" w:ascii="楷体" w:hAnsi="楷体" w:eastAsia="楷体" w:cs="楷体"/>
                <w:color w:val="auto"/>
                <w:spacing w:val="-1"/>
              </w:rPr>
              <w:t>校级、学院活</w:t>
            </w:r>
            <w:r>
              <w:rPr>
                <w:rFonts w:hint="eastAsia" w:ascii="楷体" w:hAnsi="楷体" w:eastAsia="楷体" w:cs="楷体"/>
                <w:color w:val="auto"/>
              </w:rPr>
              <w:t>动</w:t>
            </w:r>
          </w:p>
        </w:tc>
        <w:tc>
          <w:tcPr>
            <w:tcW w:w="624" w:type="pct"/>
            <w:vAlign w:val="center"/>
          </w:tcPr>
          <w:p>
            <w:pPr>
              <w:widowControl w:val="0"/>
              <w:kinsoku/>
              <w:autoSpaceDN/>
              <w:spacing w:before="68"/>
              <w:jc w:val="center"/>
              <w:rPr>
                <w:rFonts w:hint="default" w:ascii="楷体" w:hAnsi="楷体" w:eastAsia="楷体" w:cs="楷体"/>
                <w:color w:val="auto"/>
                <w:lang w:val="en-US" w:eastAsia="zh-CN"/>
              </w:rPr>
            </w:pPr>
            <w:r>
              <w:rPr>
                <w:rFonts w:hint="eastAsia" w:ascii="楷体" w:hAnsi="楷体" w:eastAsia="楷体" w:cs="楷体"/>
                <w:color w:val="auto"/>
                <w:spacing w:val="-2"/>
                <w:lang w:val="en-US" w:eastAsia="zh-CN"/>
              </w:rPr>
              <w:t>0.8</w:t>
            </w:r>
          </w:p>
        </w:tc>
        <w:tc>
          <w:tcPr>
            <w:tcW w:w="447"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551"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606"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1818" w:type="pct"/>
            <w:vAlign w:val="center"/>
          </w:tcPr>
          <w:p>
            <w:pPr>
              <w:widowControl w:val="0"/>
              <w:numPr>
                <w:ilvl w:val="0"/>
                <w:numId w:val="4"/>
              </w:numPr>
              <w:kinsoku/>
              <w:autoSpaceDN/>
              <w:jc w:val="both"/>
              <w:rPr>
                <w:rFonts w:ascii="楷体" w:hAnsi="楷体" w:eastAsia="楷体" w:cs="楷体"/>
                <w:color w:val="auto"/>
              </w:rPr>
            </w:pPr>
            <w:r>
              <w:rPr>
                <w:rFonts w:hint="eastAsia" w:ascii="楷体" w:hAnsi="楷体" w:eastAsia="楷体" w:cs="楷体"/>
                <w:color w:val="auto"/>
                <w:spacing w:val="2"/>
              </w:rPr>
              <w:t>校级、学院活动指校团委、学工</w:t>
            </w:r>
            <w:r>
              <w:rPr>
                <w:rFonts w:hint="eastAsia" w:ascii="楷体" w:hAnsi="楷体" w:eastAsia="楷体" w:cs="楷体"/>
                <w:color w:val="auto"/>
                <w:spacing w:val="1"/>
              </w:rPr>
              <w:t>部、研工部等校级部门、人文学院、党团支部正式举办的主题活动、文体活动等；</w:t>
            </w:r>
          </w:p>
          <w:p>
            <w:pPr>
              <w:widowControl w:val="0"/>
              <w:numPr>
                <w:ilvl w:val="0"/>
                <w:numId w:val="4"/>
              </w:numPr>
              <w:kinsoku/>
              <w:autoSpaceDN/>
              <w:jc w:val="both"/>
              <w:rPr>
                <w:rFonts w:ascii="楷体" w:hAnsi="楷体" w:eastAsia="楷体" w:cs="楷体"/>
                <w:color w:val="auto"/>
              </w:rPr>
            </w:pPr>
            <w:r>
              <w:rPr>
                <w:rFonts w:hint="eastAsia" w:ascii="楷体" w:hAnsi="楷体" w:eastAsia="楷体" w:cs="楷体"/>
                <w:color w:val="auto"/>
                <w:spacing w:val="1"/>
              </w:rPr>
              <w:t>参加活动积分一个长学期不</w:t>
            </w:r>
            <w:r>
              <w:rPr>
                <w:rFonts w:hint="eastAsia" w:ascii="楷体" w:hAnsi="楷体" w:eastAsia="楷体" w:cs="楷体"/>
                <w:color w:val="auto"/>
                <w:spacing w:val="-12"/>
              </w:rPr>
              <w:t>超过</w:t>
            </w:r>
            <w:r>
              <w:rPr>
                <w:rFonts w:hint="eastAsia" w:ascii="楷体" w:hAnsi="楷体" w:eastAsia="楷体" w:cs="楷体"/>
                <w:color w:val="auto"/>
                <w:spacing w:val="-12"/>
                <w:lang w:val="en-US" w:eastAsia="zh-CN"/>
              </w:rPr>
              <w:t>4</w:t>
            </w:r>
            <w:r>
              <w:rPr>
                <w:rFonts w:hint="eastAsia" w:ascii="楷体" w:hAnsi="楷体" w:eastAsia="楷体" w:cs="楷体"/>
                <w:color w:val="auto"/>
                <w:spacing w:val="-12"/>
              </w:rPr>
              <w:t>分，一年不超过</w:t>
            </w:r>
            <w:r>
              <w:rPr>
                <w:rFonts w:hint="eastAsia" w:ascii="楷体" w:hAnsi="楷体" w:eastAsia="楷体" w:cs="楷体"/>
                <w:color w:val="auto"/>
                <w:spacing w:val="-12"/>
                <w:lang w:val="en-US" w:eastAsia="zh-CN"/>
              </w:rPr>
              <w:t>8</w:t>
            </w:r>
            <w:r>
              <w:rPr>
                <w:rFonts w:hint="eastAsia" w:ascii="楷体" w:hAnsi="楷体" w:eastAsia="楷体" w:cs="楷体"/>
                <w:color w:val="auto"/>
                <w:spacing w:val="-12"/>
              </w:rPr>
              <w:t>分</w:t>
            </w:r>
            <w:r>
              <w:rPr>
                <w:rFonts w:hint="eastAsia" w:ascii="楷体" w:hAnsi="楷体" w:eastAsia="楷体" w:cs="楷体"/>
                <w:color w:val="auto"/>
                <w:spacing w:val="-11"/>
              </w:rPr>
              <w:t>。</w:t>
            </w:r>
          </w:p>
        </w:tc>
      </w:tr>
    </w:tbl>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hint="eastAsia" w:ascii="宋体" w:hAnsi="宋体" w:eastAsia="宋体" w:cs="宋体"/>
          <w:color w:val="auto"/>
          <w:sz w:val="24"/>
          <w:szCs w:val="24"/>
        </w:rPr>
      </w:pPr>
      <w:r>
        <w:rPr>
          <w:rFonts w:hint="eastAsia" w:ascii="宋体" w:hAnsi="宋体" w:eastAsia="宋体" w:cs="宋体"/>
          <w:color w:val="auto"/>
          <w:sz w:val="24"/>
          <w:szCs w:val="24"/>
        </w:rPr>
        <w:t>参与志愿服务计分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12</w:t>
      </w:r>
      <w:r>
        <w:rPr>
          <w:rFonts w:hint="eastAsia" w:ascii="仿宋" w:hAnsi="仿宋" w:eastAsia="仿宋" w:cs="仿宋"/>
          <w:bCs/>
          <w:color w:val="FF0000"/>
        </w:rPr>
        <w:t>分）</w:t>
      </w:r>
    </w:p>
    <w:tbl>
      <w:tblPr>
        <w:tblStyle w:val="1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36"/>
        <w:gridCol w:w="3127"/>
        <w:gridCol w:w="9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restart"/>
            <w:tcBorders>
              <w:bottom w:val="nil"/>
            </w:tcBorders>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rPr>
              <w:t>类</w:t>
            </w:r>
            <w:r>
              <w:rPr>
                <w:rFonts w:hint="eastAsia" w:ascii="楷体" w:hAnsi="楷体" w:eastAsia="楷体" w:cs="楷体"/>
                <w:color w:val="auto"/>
                <w:spacing w:val="-1"/>
              </w:rPr>
              <w:t>别</w:t>
            </w:r>
          </w:p>
        </w:tc>
        <w:tc>
          <w:tcPr>
            <w:tcW w:w="1015" w:type="pct"/>
            <w:vMerge w:val="restart"/>
            <w:tcBorders>
              <w:bottom w:val="nil"/>
            </w:tcBorders>
            <w:vAlign w:val="center"/>
          </w:tcPr>
          <w:p>
            <w:pPr>
              <w:widowControl w:val="0"/>
              <w:kinsoku/>
              <w:autoSpaceDN/>
              <w:spacing w:before="68"/>
              <w:ind w:left="211"/>
              <w:jc w:val="center"/>
              <w:rPr>
                <w:rFonts w:ascii="楷体" w:hAnsi="楷体" w:eastAsia="楷体" w:cs="楷体"/>
                <w:color w:val="auto"/>
              </w:rPr>
            </w:pPr>
            <w:r>
              <w:rPr>
                <w:rFonts w:hint="eastAsia" w:ascii="楷体" w:hAnsi="楷体" w:eastAsia="楷体" w:cs="楷体"/>
                <w:color w:val="auto"/>
                <w:spacing w:val="-1"/>
              </w:rPr>
              <w:t>第二课堂志愿服务时长</w:t>
            </w:r>
          </w:p>
        </w:tc>
        <w:tc>
          <w:tcPr>
            <w:tcW w:w="3031" w:type="pct"/>
            <w:vMerge w:val="restart"/>
            <w:tcBorders>
              <w:bottom w:val="nil"/>
            </w:tcBorders>
            <w:vAlign w:val="center"/>
          </w:tcPr>
          <w:p>
            <w:pPr>
              <w:widowControl w:val="0"/>
              <w:kinsoku/>
              <w:autoSpaceDN/>
              <w:spacing w:before="68"/>
              <w:ind w:left="297"/>
              <w:jc w:val="center"/>
              <w:rPr>
                <w:rFonts w:ascii="楷体" w:hAnsi="楷体" w:eastAsia="楷体" w:cs="楷体"/>
                <w:color w:val="auto"/>
              </w:rPr>
            </w:pPr>
            <w:r>
              <w:rPr>
                <w:rFonts w:hint="eastAsia" w:ascii="楷体" w:hAnsi="楷体" w:eastAsia="楷体" w:cs="楷体"/>
                <w:color w:val="auto"/>
                <w:spacing w:val="-2"/>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continue"/>
            <w:tcBorders>
              <w:top w:val="nil"/>
              <w:bottom w:val="nil"/>
            </w:tcBorders>
            <w:vAlign w:val="center"/>
          </w:tcPr>
          <w:p>
            <w:pPr>
              <w:widowControl w:val="0"/>
              <w:kinsoku/>
              <w:autoSpaceDN/>
              <w:jc w:val="center"/>
              <w:rPr>
                <w:rFonts w:ascii="楷体" w:hAnsi="楷体" w:eastAsia="楷体" w:cs="楷体"/>
                <w:color w:val="auto"/>
              </w:rPr>
            </w:pPr>
          </w:p>
        </w:tc>
        <w:tc>
          <w:tcPr>
            <w:tcW w:w="1015" w:type="pct"/>
            <w:vMerge w:val="continue"/>
            <w:tcBorders>
              <w:top w:val="nil"/>
              <w:bottom w:val="nil"/>
            </w:tcBorders>
            <w:vAlign w:val="center"/>
          </w:tcPr>
          <w:p>
            <w:pPr>
              <w:widowControl w:val="0"/>
              <w:kinsoku/>
              <w:autoSpaceDN/>
              <w:jc w:val="center"/>
              <w:rPr>
                <w:rFonts w:ascii="楷体" w:hAnsi="楷体" w:eastAsia="楷体" w:cs="楷体"/>
                <w:color w:val="auto"/>
              </w:rPr>
            </w:pPr>
          </w:p>
        </w:tc>
        <w:tc>
          <w:tcPr>
            <w:tcW w:w="3031" w:type="pct"/>
            <w:vMerge w:val="continue"/>
            <w:tcBorders>
              <w:top w:val="nil"/>
              <w:bottom w:val="nil"/>
            </w:tcBorders>
            <w:vAlign w:val="center"/>
          </w:tcPr>
          <w:p>
            <w:pPr>
              <w:widowControl w:val="0"/>
              <w:kinsoku/>
              <w:autoSpaceDN/>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continue"/>
            <w:tcBorders>
              <w:top w:val="nil"/>
            </w:tcBorders>
            <w:vAlign w:val="center"/>
          </w:tcPr>
          <w:p>
            <w:pPr>
              <w:widowControl w:val="0"/>
              <w:kinsoku/>
              <w:autoSpaceDN/>
              <w:jc w:val="center"/>
              <w:rPr>
                <w:rFonts w:ascii="楷体" w:hAnsi="楷体" w:eastAsia="楷体" w:cs="楷体"/>
                <w:color w:val="auto"/>
              </w:rPr>
            </w:pPr>
          </w:p>
        </w:tc>
        <w:tc>
          <w:tcPr>
            <w:tcW w:w="1015" w:type="pct"/>
            <w:vMerge w:val="continue"/>
            <w:tcBorders>
              <w:top w:val="nil"/>
            </w:tcBorders>
            <w:vAlign w:val="center"/>
          </w:tcPr>
          <w:p>
            <w:pPr>
              <w:widowControl w:val="0"/>
              <w:kinsoku/>
              <w:autoSpaceDN/>
              <w:jc w:val="center"/>
              <w:rPr>
                <w:rFonts w:ascii="楷体" w:hAnsi="楷体" w:eastAsia="楷体" w:cs="楷体"/>
                <w:color w:val="auto"/>
              </w:rPr>
            </w:pPr>
          </w:p>
        </w:tc>
        <w:tc>
          <w:tcPr>
            <w:tcW w:w="3031" w:type="pct"/>
            <w:vMerge w:val="continue"/>
            <w:tcBorders>
              <w:top w:val="nil"/>
            </w:tcBorders>
            <w:vAlign w:val="center"/>
          </w:tcPr>
          <w:p>
            <w:pPr>
              <w:widowControl w:val="0"/>
              <w:kinsoku/>
              <w:autoSpaceDN/>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953" w:type="pct"/>
            <w:vAlign w:val="center"/>
          </w:tcPr>
          <w:p>
            <w:pPr>
              <w:widowControl w:val="0"/>
              <w:kinsoku/>
              <w:autoSpaceDN/>
              <w:spacing w:before="32"/>
              <w:jc w:val="center"/>
              <w:rPr>
                <w:rFonts w:ascii="楷体" w:hAnsi="楷体" w:eastAsia="楷体" w:cs="楷体"/>
                <w:color w:val="auto"/>
              </w:rPr>
            </w:pPr>
            <w:r>
              <w:rPr>
                <w:rFonts w:hint="eastAsia" w:ascii="楷体" w:hAnsi="楷体" w:eastAsia="楷体" w:cs="楷体"/>
                <w:color w:val="auto"/>
                <w:spacing w:val="-4"/>
              </w:rPr>
              <w:t>5小时 (含)以内</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4"/>
                <w:lang w:val="en-US" w:eastAsia="zh-CN"/>
              </w:rPr>
              <w:t>2</w:t>
            </w:r>
          </w:p>
        </w:tc>
        <w:tc>
          <w:tcPr>
            <w:tcW w:w="3031" w:type="pct"/>
            <w:vMerge w:val="restart"/>
            <w:vAlign w:val="center"/>
          </w:tcPr>
          <w:p>
            <w:pPr>
              <w:widowControl w:val="0"/>
              <w:kinsoku/>
              <w:autoSpaceDN/>
              <w:spacing w:before="70"/>
              <w:jc w:val="center"/>
              <w:rPr>
                <w:rFonts w:ascii="楷体" w:hAnsi="楷体" w:eastAsia="楷体" w:cs="楷体"/>
                <w:color w:val="auto"/>
              </w:rPr>
            </w:pPr>
            <w:r>
              <w:rPr>
                <w:rFonts w:hint="eastAsia" w:ascii="楷体" w:hAnsi="楷体" w:eastAsia="楷体" w:cs="楷体"/>
                <w:color w:val="auto"/>
                <w:spacing w:val="-8"/>
              </w:rPr>
              <w:t>志愿服务积分一个长学期不超过</w:t>
            </w:r>
            <w:r>
              <w:rPr>
                <w:rFonts w:hint="eastAsia" w:ascii="楷体" w:hAnsi="楷体" w:eastAsia="楷体" w:cs="楷体"/>
                <w:color w:val="auto"/>
                <w:spacing w:val="-8"/>
                <w:lang w:val="en-US" w:eastAsia="zh-CN"/>
              </w:rPr>
              <w:t>8</w:t>
            </w:r>
            <w:r>
              <w:rPr>
                <w:rFonts w:hint="eastAsia" w:ascii="楷体" w:hAnsi="楷体" w:eastAsia="楷体" w:cs="楷体"/>
                <w:color w:val="auto"/>
                <w:spacing w:val="-8"/>
              </w:rPr>
              <w:t>分，一年不</w:t>
            </w:r>
            <w:r>
              <w:rPr>
                <w:rFonts w:hint="eastAsia" w:ascii="楷体" w:hAnsi="楷体" w:eastAsia="楷体" w:cs="楷体"/>
                <w:color w:val="auto"/>
                <w:spacing w:val="-10"/>
              </w:rPr>
              <w:t>超</w:t>
            </w:r>
            <w:r>
              <w:rPr>
                <w:rFonts w:hint="eastAsia" w:ascii="楷体" w:hAnsi="楷体" w:eastAsia="楷体" w:cs="楷体"/>
                <w:color w:val="auto"/>
                <w:spacing w:val="-7"/>
              </w:rPr>
              <w:t>过</w:t>
            </w:r>
            <w:r>
              <w:rPr>
                <w:rFonts w:hint="eastAsia" w:ascii="楷体" w:hAnsi="楷体" w:eastAsia="楷体" w:cs="楷体"/>
                <w:color w:val="auto"/>
                <w:spacing w:val="-7"/>
                <w:lang w:val="en-US" w:eastAsia="zh-CN"/>
              </w:rPr>
              <w:t>12</w:t>
            </w:r>
            <w:r>
              <w:rPr>
                <w:rFonts w:hint="eastAsia" w:ascii="楷体" w:hAnsi="楷体" w:eastAsia="楷体" w:cs="楷体"/>
                <w:color w:val="auto"/>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53" w:type="pct"/>
            <w:vAlign w:val="center"/>
          </w:tcPr>
          <w:p>
            <w:pPr>
              <w:widowControl w:val="0"/>
              <w:kinsoku/>
              <w:autoSpaceDN/>
              <w:spacing w:before="35"/>
              <w:jc w:val="center"/>
              <w:rPr>
                <w:rFonts w:ascii="楷体" w:hAnsi="楷体" w:eastAsia="楷体" w:cs="楷体"/>
                <w:color w:val="auto"/>
              </w:rPr>
            </w:pPr>
            <w:r>
              <w:rPr>
                <w:rFonts w:hint="eastAsia" w:ascii="楷体" w:hAnsi="楷体" w:eastAsia="楷体" w:cs="楷体"/>
                <w:color w:val="auto"/>
                <w:spacing w:val="-4"/>
              </w:rPr>
              <w:t>5-15 (含)小时</w:t>
            </w:r>
          </w:p>
        </w:tc>
        <w:tc>
          <w:tcPr>
            <w:tcW w:w="1015" w:type="pct"/>
            <w:vAlign w:val="center"/>
          </w:tcPr>
          <w:p>
            <w:pPr>
              <w:widowControl w:val="0"/>
              <w:kinsoku/>
              <w:autoSpaceDN/>
              <w:jc w:val="center"/>
              <w:rPr>
                <w:rFonts w:hint="default" w:ascii="楷体" w:hAnsi="楷体" w:eastAsia="楷体" w:cs="楷体"/>
                <w:color w:val="auto"/>
                <w:lang w:val="en-US" w:eastAsia="zh-CN"/>
              </w:rPr>
            </w:pPr>
            <w:r>
              <w:rPr>
                <w:rFonts w:hint="eastAsia" w:ascii="楷体" w:hAnsi="楷体" w:eastAsia="楷体" w:cs="楷体"/>
                <w:color w:val="auto"/>
                <w:lang w:val="en-US" w:eastAsia="zh-CN"/>
              </w:rPr>
              <w:t>4</w:t>
            </w:r>
          </w:p>
        </w:tc>
        <w:tc>
          <w:tcPr>
            <w:tcW w:w="3031" w:type="pct"/>
            <w:vMerge w:val="continue"/>
            <w:vAlign w:val="center"/>
          </w:tcPr>
          <w:p>
            <w:pPr>
              <w:widowControl w:val="0"/>
              <w:kinsoku/>
              <w:autoSpaceDN/>
              <w:spacing w:before="75"/>
              <w:ind w:left="673"/>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53" w:type="pct"/>
            <w:vAlign w:val="center"/>
          </w:tcPr>
          <w:p>
            <w:pPr>
              <w:widowControl w:val="0"/>
              <w:kinsoku/>
              <w:autoSpaceDN/>
              <w:spacing w:before="33"/>
              <w:jc w:val="center"/>
              <w:rPr>
                <w:rFonts w:ascii="楷体" w:hAnsi="楷体" w:eastAsia="楷体" w:cs="楷体"/>
                <w:color w:val="auto"/>
              </w:rPr>
            </w:pPr>
            <w:r>
              <w:rPr>
                <w:rFonts w:hint="eastAsia" w:ascii="楷体" w:hAnsi="楷体" w:eastAsia="楷体" w:cs="楷体"/>
                <w:color w:val="auto"/>
                <w:spacing w:val="-4"/>
              </w:rPr>
              <w:t>15-25 (含)小时</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4"/>
                <w:lang w:val="en-US" w:eastAsia="zh-CN"/>
              </w:rPr>
              <w:t>6</w:t>
            </w:r>
          </w:p>
        </w:tc>
        <w:tc>
          <w:tcPr>
            <w:tcW w:w="3031" w:type="pct"/>
            <w:vMerge w:val="continue"/>
            <w:vAlign w:val="center"/>
          </w:tcPr>
          <w:p>
            <w:pPr>
              <w:widowControl w:val="0"/>
              <w:kinsoku/>
              <w:autoSpaceDN/>
              <w:spacing w:before="75"/>
              <w:ind w:left="581"/>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53" w:type="pct"/>
            <w:vAlign w:val="center"/>
          </w:tcPr>
          <w:p>
            <w:pPr>
              <w:widowControl w:val="0"/>
              <w:kinsoku/>
              <w:autoSpaceDN/>
              <w:spacing w:before="33"/>
              <w:jc w:val="center"/>
              <w:rPr>
                <w:rFonts w:ascii="楷体" w:hAnsi="楷体" w:eastAsia="楷体" w:cs="楷体"/>
                <w:color w:val="auto"/>
                <w:spacing w:val="-1"/>
              </w:rPr>
            </w:pPr>
            <w:r>
              <w:rPr>
                <w:rFonts w:hint="eastAsia" w:ascii="楷体" w:hAnsi="楷体" w:eastAsia="楷体" w:cs="楷体"/>
                <w:color w:val="auto"/>
                <w:spacing w:val="-16"/>
              </w:rPr>
              <w:t>25-</w:t>
            </w:r>
            <w:r>
              <w:rPr>
                <w:rFonts w:hint="eastAsia" w:ascii="楷体" w:hAnsi="楷体" w:eastAsia="楷体" w:cs="楷体"/>
                <w:color w:val="auto"/>
                <w:spacing w:val="-14"/>
              </w:rPr>
              <w:t>40</w:t>
            </w:r>
            <w:r>
              <w:rPr>
                <w:rFonts w:hint="eastAsia" w:ascii="楷体" w:hAnsi="楷体" w:eastAsia="楷体" w:cs="楷体"/>
                <w:color w:val="auto"/>
                <w:spacing w:val="-8"/>
              </w:rPr>
              <w:t>(含)小时</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8"/>
                <w:lang w:val="en-US" w:eastAsia="zh-CN"/>
              </w:rPr>
              <w:t>8</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53" w:type="pct"/>
            <w:vAlign w:val="center"/>
          </w:tcPr>
          <w:p>
            <w:pPr>
              <w:widowControl w:val="0"/>
              <w:kinsoku/>
              <w:autoSpaceDN/>
              <w:spacing w:before="33"/>
              <w:jc w:val="center"/>
              <w:rPr>
                <w:rFonts w:ascii="楷体" w:hAnsi="楷体" w:eastAsia="楷体" w:cs="楷体"/>
                <w:color w:val="auto"/>
                <w:spacing w:val="-8"/>
              </w:rPr>
            </w:pPr>
            <w:r>
              <w:rPr>
                <w:rFonts w:hint="eastAsia" w:ascii="楷体" w:hAnsi="楷体" w:eastAsia="楷体" w:cs="楷体"/>
                <w:color w:val="auto"/>
                <w:spacing w:val="-8"/>
              </w:rPr>
              <w:t>40-60(含)小时</w:t>
            </w:r>
          </w:p>
        </w:tc>
        <w:tc>
          <w:tcPr>
            <w:tcW w:w="1015" w:type="pct"/>
            <w:vAlign w:val="center"/>
          </w:tcPr>
          <w:p>
            <w:pPr>
              <w:widowControl w:val="0"/>
              <w:kinsoku/>
              <w:autoSpaceDN/>
              <w:jc w:val="center"/>
              <w:rPr>
                <w:rFonts w:hint="default" w:ascii="楷体" w:hAnsi="楷体" w:eastAsia="楷体" w:cs="楷体"/>
                <w:color w:val="auto"/>
                <w:spacing w:val="-8"/>
                <w:lang w:val="en-US" w:eastAsia="zh-CN"/>
              </w:rPr>
            </w:pPr>
            <w:r>
              <w:rPr>
                <w:rFonts w:hint="eastAsia" w:ascii="楷体" w:hAnsi="楷体" w:eastAsia="楷体" w:cs="楷体"/>
                <w:color w:val="auto"/>
                <w:spacing w:val="-8"/>
                <w:lang w:val="en-US" w:eastAsia="zh-CN"/>
              </w:rPr>
              <w:t>10</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53" w:type="pct"/>
            <w:vAlign w:val="center"/>
          </w:tcPr>
          <w:p>
            <w:pPr>
              <w:widowControl w:val="0"/>
              <w:kinsoku/>
              <w:autoSpaceDN/>
              <w:spacing w:before="33"/>
              <w:jc w:val="center"/>
              <w:rPr>
                <w:rFonts w:ascii="楷体" w:hAnsi="楷体" w:eastAsia="楷体" w:cs="楷体"/>
                <w:color w:val="auto"/>
                <w:spacing w:val="-8"/>
              </w:rPr>
            </w:pPr>
            <w:r>
              <w:rPr>
                <w:rFonts w:hint="eastAsia" w:ascii="楷体" w:hAnsi="楷体" w:eastAsia="楷体" w:cs="楷体"/>
                <w:color w:val="auto"/>
                <w:spacing w:val="-8"/>
              </w:rPr>
              <w:t>60小时以上</w:t>
            </w:r>
          </w:p>
        </w:tc>
        <w:tc>
          <w:tcPr>
            <w:tcW w:w="1015" w:type="pct"/>
            <w:vAlign w:val="center"/>
          </w:tcPr>
          <w:p>
            <w:pPr>
              <w:widowControl w:val="0"/>
              <w:kinsoku/>
              <w:autoSpaceDN/>
              <w:jc w:val="center"/>
              <w:rPr>
                <w:rFonts w:hint="default" w:ascii="楷体" w:hAnsi="楷体" w:eastAsia="楷体" w:cs="楷体"/>
                <w:color w:val="auto"/>
                <w:spacing w:val="-8"/>
                <w:lang w:val="en-US" w:eastAsia="zh-CN"/>
              </w:rPr>
            </w:pPr>
            <w:r>
              <w:rPr>
                <w:rFonts w:hint="eastAsia" w:ascii="楷体" w:hAnsi="楷体" w:eastAsia="楷体" w:cs="楷体"/>
                <w:color w:val="auto"/>
                <w:spacing w:val="-8"/>
                <w:lang w:val="en-US" w:eastAsia="zh-CN"/>
              </w:rPr>
              <w:t>12</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bl>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ascii="宋体" w:hAnsi="宋体" w:eastAsia="宋体" w:cs="宋体"/>
          <w:color w:val="auto"/>
          <w:sz w:val="24"/>
          <w:szCs w:val="24"/>
        </w:rPr>
      </w:pPr>
      <w:r>
        <w:rPr>
          <w:rFonts w:hint="eastAsia" w:ascii="宋体" w:hAnsi="宋体" w:eastAsia="宋体" w:cs="宋体"/>
          <w:color w:val="auto"/>
          <w:sz w:val="24"/>
          <w:szCs w:val="24"/>
          <w:lang w:val="en-US" w:eastAsia="zh-CN"/>
        </w:rPr>
        <w:t>参与社会活动获得荣誉及奖励计分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tbl>
      <w:tblPr>
        <w:tblStyle w:val="11"/>
        <w:tblW w:w="15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8"/>
        <w:gridCol w:w="658"/>
        <w:gridCol w:w="2528"/>
        <w:gridCol w:w="1029"/>
        <w:gridCol w:w="1243"/>
        <w:gridCol w:w="1282"/>
        <w:gridCol w:w="890"/>
        <w:gridCol w:w="7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58" w:type="dxa"/>
            <w:tcBorders>
              <w:bottom w:val="nil"/>
            </w:tcBorders>
            <w:vAlign w:val="center"/>
          </w:tcPr>
          <w:p>
            <w:pPr>
              <w:widowControl w:val="0"/>
              <w:kinsoku/>
              <w:autoSpaceDN/>
              <w:spacing w:before="68"/>
              <w:jc w:val="center"/>
              <w:rPr>
                <w:rFonts w:hint="eastAsia" w:ascii="楷体" w:hAnsi="楷体" w:eastAsia="楷体" w:cs="楷体"/>
                <w:color w:val="auto"/>
                <w:spacing w:val="-2"/>
                <w:sz w:val="21"/>
                <w:szCs w:val="21"/>
              </w:rPr>
            </w:pPr>
          </w:p>
        </w:tc>
        <w:tc>
          <w:tcPr>
            <w:tcW w:w="3186" w:type="dxa"/>
            <w:gridSpan w:val="2"/>
            <w:vMerge w:val="restart"/>
            <w:tcBorders>
              <w:bottom w:val="nil"/>
            </w:tcBorders>
            <w:vAlign w:val="center"/>
          </w:tcPr>
          <w:p>
            <w:pPr>
              <w:widowControl w:val="0"/>
              <w:kinsoku/>
              <w:autoSpaceDN/>
              <w:spacing w:before="68"/>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等级</w:t>
            </w:r>
          </w:p>
        </w:tc>
        <w:tc>
          <w:tcPr>
            <w:tcW w:w="3554" w:type="dxa"/>
            <w:gridSpan w:val="3"/>
            <w:vAlign w:val="center"/>
          </w:tcPr>
          <w:p>
            <w:pPr>
              <w:widowControl w:val="0"/>
              <w:kinsoku/>
              <w:autoSpaceDN/>
              <w:spacing w:before="33"/>
              <w:ind w:left="396"/>
              <w:jc w:val="center"/>
              <w:rPr>
                <w:rFonts w:hint="eastAsia" w:ascii="楷体" w:hAnsi="楷体" w:eastAsia="楷体" w:cs="楷体"/>
                <w:color w:val="auto"/>
                <w:sz w:val="21"/>
                <w:szCs w:val="21"/>
              </w:rPr>
            </w:pPr>
            <w:r>
              <w:rPr>
                <w:rFonts w:hint="eastAsia" w:ascii="楷体" w:hAnsi="楷体" w:eastAsia="楷体" w:cs="楷体"/>
                <w:color w:val="auto"/>
                <w:spacing w:val="-1"/>
                <w:sz w:val="21"/>
                <w:szCs w:val="21"/>
              </w:rPr>
              <w:t>集体</w:t>
            </w:r>
          </w:p>
        </w:tc>
        <w:tc>
          <w:tcPr>
            <w:tcW w:w="890" w:type="dxa"/>
            <w:vMerge w:val="restart"/>
            <w:tcBorders>
              <w:bottom w:val="nil"/>
            </w:tcBorders>
            <w:vAlign w:val="center"/>
          </w:tcPr>
          <w:p>
            <w:pPr>
              <w:widowControl w:val="0"/>
              <w:kinsoku/>
              <w:autoSpaceDN/>
              <w:spacing w:before="68"/>
              <w:ind w:left="211"/>
              <w:jc w:val="both"/>
              <w:rPr>
                <w:rFonts w:hint="eastAsia" w:ascii="楷体" w:hAnsi="楷体" w:eastAsia="楷体" w:cs="楷体"/>
                <w:color w:val="auto"/>
                <w:sz w:val="21"/>
                <w:szCs w:val="21"/>
              </w:rPr>
            </w:pPr>
            <w:r>
              <w:rPr>
                <w:rFonts w:hint="eastAsia" w:ascii="楷体" w:hAnsi="楷体" w:eastAsia="楷体" w:cs="楷体"/>
                <w:color w:val="auto"/>
                <w:spacing w:val="-1"/>
                <w:sz w:val="21"/>
                <w:szCs w:val="21"/>
              </w:rPr>
              <w:t>个人</w:t>
            </w:r>
          </w:p>
        </w:tc>
        <w:tc>
          <w:tcPr>
            <w:tcW w:w="7016" w:type="dxa"/>
            <w:tcBorders>
              <w:bottom w:val="nil"/>
            </w:tcBorders>
            <w:vAlign w:val="center"/>
          </w:tcPr>
          <w:p>
            <w:pPr>
              <w:widowControl w:val="0"/>
              <w:kinsoku/>
              <w:autoSpaceDN/>
              <w:spacing w:before="68"/>
              <w:ind w:left="211"/>
              <w:jc w:val="center"/>
              <w:rPr>
                <w:rFonts w:hint="eastAsia" w:ascii="楷体" w:hAnsi="楷体" w:eastAsia="楷体" w:cs="楷体"/>
                <w:color w:val="auto"/>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58" w:type="dxa"/>
            <w:tcBorders>
              <w:top w:val="nil"/>
              <w:bottom w:val="nil"/>
            </w:tcBorders>
            <w:vAlign w:val="center"/>
          </w:tcPr>
          <w:p>
            <w:pPr>
              <w:widowControl w:val="0"/>
              <w:kinsoku/>
              <w:autoSpaceDN/>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类别</w:t>
            </w:r>
          </w:p>
        </w:tc>
        <w:tc>
          <w:tcPr>
            <w:tcW w:w="3186" w:type="dxa"/>
            <w:gridSpan w:val="2"/>
            <w:vMerge w:val="continue"/>
            <w:tcBorders>
              <w:top w:val="nil"/>
              <w:bottom w:val="nil"/>
            </w:tcBorders>
            <w:vAlign w:val="center"/>
          </w:tcPr>
          <w:p>
            <w:pPr>
              <w:widowControl w:val="0"/>
              <w:kinsoku/>
              <w:autoSpaceDN/>
              <w:jc w:val="center"/>
              <w:rPr>
                <w:rFonts w:hint="eastAsia" w:ascii="楷体" w:hAnsi="楷体" w:eastAsia="楷体" w:cs="楷体"/>
                <w:color w:val="auto"/>
                <w:sz w:val="21"/>
                <w:szCs w:val="21"/>
              </w:rPr>
            </w:pPr>
          </w:p>
        </w:tc>
        <w:tc>
          <w:tcPr>
            <w:tcW w:w="1029" w:type="dxa"/>
            <w:vMerge w:val="restart"/>
            <w:vAlign w:val="center"/>
          </w:tcPr>
          <w:p>
            <w:pPr>
              <w:widowControl w:val="0"/>
              <w:kinsoku/>
              <w:autoSpaceDN/>
              <w:spacing w:before="34"/>
              <w:ind w:left="251" w:right="130" w:hanging="111"/>
              <w:jc w:val="center"/>
              <w:rPr>
                <w:rFonts w:hint="eastAsia" w:ascii="楷体" w:hAnsi="楷体" w:eastAsia="楷体" w:cs="楷体"/>
                <w:color w:val="auto"/>
                <w:sz w:val="21"/>
                <w:szCs w:val="21"/>
              </w:rPr>
            </w:pPr>
            <w:r>
              <w:rPr>
                <w:rFonts w:hint="eastAsia" w:ascii="楷体" w:hAnsi="楷体" w:eastAsia="楷体" w:cs="楷体"/>
                <w:color w:val="auto"/>
                <w:spacing w:val="-2"/>
                <w:sz w:val="21"/>
                <w:szCs w:val="21"/>
              </w:rPr>
              <w:t>负</w:t>
            </w:r>
            <w:r>
              <w:rPr>
                <w:rFonts w:hint="eastAsia" w:ascii="楷体" w:hAnsi="楷体" w:eastAsia="楷体" w:cs="楷体"/>
                <w:color w:val="auto"/>
                <w:spacing w:val="-4"/>
                <w:sz w:val="21"/>
                <w:szCs w:val="21"/>
              </w:rPr>
              <w:t>责</w:t>
            </w:r>
            <w:r>
              <w:rPr>
                <w:rFonts w:hint="eastAsia" w:ascii="楷体" w:hAnsi="楷体" w:eastAsia="楷体" w:cs="楷体"/>
                <w:color w:val="auto"/>
                <w:spacing w:val="-3"/>
                <w:sz w:val="21"/>
                <w:szCs w:val="21"/>
              </w:rPr>
              <w:t>人</w:t>
            </w:r>
          </w:p>
        </w:tc>
        <w:tc>
          <w:tcPr>
            <w:tcW w:w="1243" w:type="dxa"/>
            <w:vMerge w:val="restart"/>
            <w:vAlign w:val="center"/>
          </w:tcPr>
          <w:p>
            <w:pPr>
              <w:widowControl w:val="0"/>
              <w:kinsoku/>
              <w:autoSpaceDN/>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主要参与人</w:t>
            </w:r>
          </w:p>
        </w:tc>
        <w:tc>
          <w:tcPr>
            <w:tcW w:w="1282" w:type="dxa"/>
            <w:vMerge w:val="restart"/>
            <w:tcBorders>
              <w:bottom w:val="nil"/>
            </w:tcBorders>
            <w:vAlign w:val="center"/>
          </w:tcPr>
          <w:p>
            <w:pPr>
              <w:widowControl w:val="0"/>
              <w:kinsoku/>
              <w:autoSpaceDN/>
              <w:spacing w:before="34"/>
              <w:ind w:left="156"/>
              <w:jc w:val="both"/>
              <w:rPr>
                <w:rFonts w:hint="eastAsia" w:ascii="楷体" w:hAnsi="楷体" w:eastAsia="楷体" w:cs="楷体"/>
                <w:color w:val="auto"/>
                <w:sz w:val="21"/>
                <w:szCs w:val="21"/>
                <w:lang w:val="en-US" w:eastAsia="zh-CN"/>
              </w:rPr>
            </w:pPr>
            <w:r>
              <w:rPr>
                <w:rFonts w:hint="eastAsia" w:ascii="楷体" w:hAnsi="楷体" w:eastAsia="楷体" w:cs="楷体"/>
                <w:color w:val="auto"/>
                <w:spacing w:val="-2"/>
                <w:sz w:val="21"/>
                <w:szCs w:val="21"/>
              </w:rPr>
              <w:t>其他</w:t>
            </w:r>
            <w:r>
              <w:rPr>
                <w:rFonts w:hint="eastAsia" w:ascii="楷体" w:hAnsi="楷体" w:eastAsia="楷体" w:cs="楷体"/>
                <w:color w:val="auto"/>
                <w:spacing w:val="-2"/>
                <w:sz w:val="21"/>
                <w:szCs w:val="21"/>
                <w:lang w:val="en-US" w:eastAsia="zh-CN"/>
              </w:rPr>
              <w:t>参与人</w:t>
            </w:r>
          </w:p>
        </w:tc>
        <w:tc>
          <w:tcPr>
            <w:tcW w:w="890" w:type="dxa"/>
            <w:vMerge w:val="continue"/>
            <w:tcBorders>
              <w:top w:val="nil"/>
              <w:bottom w:val="nil"/>
            </w:tcBorders>
            <w:vAlign w:val="center"/>
          </w:tcPr>
          <w:p>
            <w:pPr>
              <w:widowControl w:val="0"/>
              <w:kinsoku/>
              <w:autoSpaceDN/>
              <w:jc w:val="center"/>
              <w:rPr>
                <w:rFonts w:hint="eastAsia" w:ascii="楷体" w:hAnsi="楷体" w:eastAsia="楷体" w:cs="楷体"/>
                <w:color w:val="auto"/>
                <w:sz w:val="21"/>
                <w:szCs w:val="21"/>
              </w:rPr>
            </w:pPr>
          </w:p>
        </w:tc>
        <w:tc>
          <w:tcPr>
            <w:tcW w:w="7016" w:type="dxa"/>
            <w:tcBorders>
              <w:top w:val="nil"/>
              <w:bottom w:val="nil"/>
            </w:tcBorders>
            <w:vAlign w:val="center"/>
          </w:tcPr>
          <w:p>
            <w:pPr>
              <w:widowControl w:val="0"/>
              <w:kinsoku/>
              <w:autoSpaceDN/>
              <w:jc w:val="center"/>
              <w:rPr>
                <w:rFonts w:hint="eastAsia" w:ascii="楷体" w:hAnsi="楷体" w:eastAsia="楷体" w:cs="楷体"/>
                <w:color w:val="auto"/>
                <w:sz w:val="21"/>
                <w:szCs w:val="21"/>
              </w:rPr>
            </w:pPr>
            <w:r>
              <w:rPr>
                <w:rFonts w:hint="eastAsia" w:ascii="楷体" w:hAnsi="楷体" w:eastAsia="楷体" w:cs="楷体"/>
                <w:color w:val="auto"/>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758" w:type="dxa"/>
            <w:tcBorders>
              <w:top w:val="nil"/>
            </w:tcBorders>
            <w:vAlign w:val="center"/>
          </w:tcPr>
          <w:p>
            <w:pPr>
              <w:widowControl w:val="0"/>
              <w:kinsoku/>
              <w:autoSpaceDN/>
              <w:jc w:val="center"/>
              <w:rPr>
                <w:rFonts w:hint="eastAsia" w:ascii="楷体" w:hAnsi="楷体" w:eastAsia="楷体" w:cs="楷体"/>
                <w:color w:val="auto"/>
                <w:sz w:val="21"/>
                <w:szCs w:val="21"/>
              </w:rPr>
            </w:pPr>
          </w:p>
        </w:tc>
        <w:tc>
          <w:tcPr>
            <w:tcW w:w="3186" w:type="dxa"/>
            <w:gridSpan w:val="2"/>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1029" w:type="dxa"/>
            <w:vMerge w:val="continue"/>
            <w:vAlign w:val="center"/>
          </w:tcPr>
          <w:p>
            <w:pPr>
              <w:widowControl w:val="0"/>
              <w:kinsoku/>
              <w:autoSpaceDN/>
              <w:jc w:val="center"/>
              <w:rPr>
                <w:rFonts w:hint="eastAsia" w:ascii="楷体" w:hAnsi="楷体" w:eastAsia="楷体" w:cs="楷体"/>
                <w:color w:val="auto"/>
                <w:sz w:val="21"/>
                <w:szCs w:val="21"/>
              </w:rPr>
            </w:pPr>
          </w:p>
        </w:tc>
        <w:tc>
          <w:tcPr>
            <w:tcW w:w="1243" w:type="dxa"/>
            <w:vMerge w:val="continue"/>
            <w:vAlign w:val="center"/>
          </w:tcPr>
          <w:p>
            <w:pPr>
              <w:widowControl w:val="0"/>
              <w:kinsoku/>
              <w:autoSpaceDN/>
              <w:jc w:val="both"/>
              <w:rPr>
                <w:rFonts w:hint="eastAsia" w:ascii="楷体" w:hAnsi="楷体" w:eastAsia="楷体" w:cs="楷体"/>
                <w:color w:val="auto"/>
                <w:sz w:val="21"/>
                <w:szCs w:val="21"/>
                <w:lang w:val="en-US" w:eastAsia="zh-CN"/>
              </w:rPr>
            </w:pPr>
          </w:p>
        </w:tc>
        <w:tc>
          <w:tcPr>
            <w:tcW w:w="1282" w:type="dxa"/>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890" w:type="dxa"/>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7016" w:type="dxa"/>
            <w:tcBorders>
              <w:top w:val="nil"/>
            </w:tcBorders>
            <w:vAlign w:val="center"/>
          </w:tcPr>
          <w:p>
            <w:pPr>
              <w:widowControl w:val="0"/>
              <w:kinsoku/>
              <w:autoSpaceDN/>
              <w:jc w:val="center"/>
              <w:rPr>
                <w:rFonts w:hint="eastAsia" w:ascii="楷体" w:hAnsi="楷体" w:eastAsia="楷体" w:cs="楷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758" w:type="dxa"/>
            <w:vMerge w:val="restart"/>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奖励</w:t>
            </w:r>
          </w:p>
        </w:tc>
        <w:tc>
          <w:tcPr>
            <w:tcW w:w="658" w:type="dxa"/>
            <w:vAlign w:val="center"/>
          </w:tcPr>
          <w:p>
            <w:pPr>
              <w:widowControl w:val="0"/>
              <w:kinsoku/>
              <w:autoSpaceDN/>
              <w:spacing w:before="29"/>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1</w:t>
            </w:r>
          </w:p>
        </w:tc>
        <w:tc>
          <w:tcPr>
            <w:tcW w:w="2528" w:type="dxa"/>
            <w:vAlign w:val="center"/>
          </w:tcPr>
          <w:p>
            <w:pPr>
              <w:widowControl w:val="0"/>
              <w:kinsoku/>
              <w:autoSpaceDN/>
              <w:spacing w:before="2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rPr>
              <w:t>国家一</w:t>
            </w:r>
            <w:r>
              <w:rPr>
                <w:rFonts w:hint="eastAsia" w:ascii="楷体" w:hAnsi="楷体" w:eastAsia="楷体" w:cs="楷体"/>
                <w:color w:val="auto"/>
                <w:spacing w:val="-2"/>
                <w:sz w:val="21"/>
                <w:szCs w:val="21"/>
              </w:rPr>
              <w:t>等奖或前三名以上</w:t>
            </w:r>
          </w:p>
        </w:tc>
        <w:tc>
          <w:tcPr>
            <w:tcW w:w="1029"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3"/>
                <w:sz w:val="21"/>
                <w:szCs w:val="21"/>
                <w:lang w:val="en-US" w:eastAsia="zh-CN"/>
              </w:rPr>
              <w:t>40</w:t>
            </w:r>
          </w:p>
        </w:tc>
        <w:tc>
          <w:tcPr>
            <w:tcW w:w="1243" w:type="dxa"/>
            <w:vAlign w:val="center"/>
          </w:tcPr>
          <w:p>
            <w:pPr>
              <w:widowControl w:val="0"/>
              <w:kinsoku/>
              <w:autoSpaceDN/>
              <w:spacing w:before="7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28</w:t>
            </w:r>
          </w:p>
        </w:tc>
        <w:tc>
          <w:tcPr>
            <w:tcW w:w="1282"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890"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3"/>
                <w:sz w:val="21"/>
                <w:szCs w:val="21"/>
                <w:lang w:val="en-US" w:eastAsia="zh-CN"/>
              </w:rPr>
              <w:t>40</w:t>
            </w:r>
          </w:p>
        </w:tc>
        <w:tc>
          <w:tcPr>
            <w:tcW w:w="7016" w:type="dxa"/>
            <w:vMerge w:val="restart"/>
            <w:vAlign w:val="top"/>
          </w:tcPr>
          <w:p>
            <w:pPr>
              <w:widowControl w:val="0"/>
              <w:numPr>
                <w:ilvl w:val="0"/>
                <w:numId w:val="5"/>
              </w:numPr>
              <w:kinsoku/>
              <w:autoSpaceDN/>
              <w:jc w:val="both"/>
              <w:rPr>
                <w:rFonts w:hint="eastAsia" w:ascii="楷体" w:hAnsi="楷体" w:eastAsia="楷体" w:cs="楷体"/>
                <w:color w:val="auto"/>
                <w:spacing w:val="2"/>
                <w:sz w:val="21"/>
                <w:szCs w:val="21"/>
              </w:rPr>
            </w:pPr>
            <w:r>
              <w:rPr>
                <w:rFonts w:hint="eastAsia" w:ascii="楷体" w:hAnsi="楷体" w:eastAsia="楷体" w:cs="楷体"/>
                <w:color w:val="auto"/>
                <w:spacing w:val="-1"/>
                <w:sz w:val="21"/>
                <w:szCs w:val="21"/>
              </w:rPr>
              <w:t>各级奖励指教育部、团中央等上级单位</w:t>
            </w:r>
            <w:r>
              <w:rPr>
                <w:rFonts w:hint="eastAsia" w:ascii="楷体" w:hAnsi="楷体" w:eastAsia="楷体" w:cs="楷体"/>
                <w:color w:val="auto"/>
                <w:sz w:val="21"/>
                <w:szCs w:val="21"/>
              </w:rPr>
              <w:t>或学校相关部门、人文学院正式举办的各类主题教育、文体活动、竞争性评比、非学科类竞赛等，如党</w:t>
            </w:r>
            <w:r>
              <w:rPr>
                <w:rFonts w:hint="eastAsia" w:ascii="楷体" w:hAnsi="楷体" w:eastAsia="楷体" w:cs="楷体"/>
                <w:color w:val="auto"/>
                <w:spacing w:val="-4"/>
                <w:sz w:val="21"/>
                <w:szCs w:val="21"/>
              </w:rPr>
              <w:t>日/团日活动</w:t>
            </w:r>
            <w:r>
              <w:rPr>
                <w:rFonts w:hint="eastAsia" w:ascii="楷体" w:hAnsi="楷体" w:eastAsia="楷体" w:cs="楷体"/>
                <w:color w:val="auto"/>
                <w:spacing w:val="-2"/>
                <w:sz w:val="21"/>
                <w:szCs w:val="21"/>
              </w:rPr>
              <w:t>/社会实践评比、党史国情/校史校情知识竞赛、职业规划大赛、模拟面试大赛、简历大赛、校运会、院运会、院系杯、辩论赛等。</w:t>
            </w:r>
          </w:p>
          <w:p>
            <w:pPr>
              <w:widowControl w:val="0"/>
              <w:numPr>
                <w:ilvl w:val="0"/>
                <w:numId w:val="5"/>
              </w:numPr>
              <w:kinsoku/>
              <w:autoSpaceDN/>
              <w:jc w:val="both"/>
              <w:rPr>
                <w:rFonts w:hint="eastAsia" w:ascii="楷体" w:hAnsi="楷体" w:eastAsia="楷体" w:cs="楷体"/>
                <w:color w:val="auto"/>
                <w:spacing w:val="2"/>
                <w:sz w:val="21"/>
                <w:szCs w:val="21"/>
              </w:rPr>
            </w:pPr>
            <w:r>
              <w:rPr>
                <w:rFonts w:hint="eastAsia" w:ascii="楷体" w:hAnsi="楷体" w:eastAsia="楷体" w:cs="楷体"/>
                <w:color w:val="auto"/>
                <w:spacing w:val="-4"/>
                <w:sz w:val="21"/>
                <w:szCs w:val="21"/>
              </w:rPr>
              <w:t>集体参与活动如获奖，主要参与人至多1名，由负责人确定；无负责人的项目如运动会等在学院认可的情况下可均按主要参与人计分。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2</w:t>
            </w:r>
          </w:p>
        </w:tc>
        <w:tc>
          <w:tcPr>
            <w:tcW w:w="2528" w:type="dxa"/>
            <w:vAlign w:val="center"/>
          </w:tcPr>
          <w:p>
            <w:pPr>
              <w:widowControl w:val="0"/>
              <w:kinsoku/>
              <w:autoSpaceDN/>
              <w:spacing w:before="30"/>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rPr>
              <w:t>国家级</w:t>
            </w:r>
            <w:r>
              <w:rPr>
                <w:rFonts w:hint="eastAsia" w:ascii="楷体" w:hAnsi="楷体" w:eastAsia="楷体" w:cs="楷体"/>
                <w:color w:val="auto"/>
                <w:spacing w:val="-2"/>
                <w:sz w:val="21"/>
                <w:szCs w:val="21"/>
                <w:lang w:val="en-US" w:eastAsia="zh-CN"/>
              </w:rPr>
              <w:t>二等奖及以下</w:t>
            </w:r>
          </w:p>
          <w:p>
            <w:pPr>
              <w:widowControl w:val="0"/>
              <w:kinsoku/>
              <w:autoSpaceDN/>
              <w:spacing w:before="30"/>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省级</w:t>
            </w:r>
            <w:r>
              <w:rPr>
                <w:rFonts w:hint="eastAsia" w:ascii="楷体" w:hAnsi="楷体" w:eastAsia="楷体" w:cs="楷体"/>
                <w:color w:val="auto"/>
                <w:spacing w:val="-2"/>
                <w:sz w:val="21"/>
                <w:szCs w:val="21"/>
              </w:rPr>
              <w:t>一</w:t>
            </w:r>
            <w:r>
              <w:rPr>
                <w:rFonts w:hint="eastAsia" w:ascii="楷体" w:hAnsi="楷体" w:eastAsia="楷体" w:cs="楷体"/>
                <w:color w:val="auto"/>
                <w:spacing w:val="-1"/>
                <w:sz w:val="21"/>
                <w:szCs w:val="21"/>
              </w:rPr>
              <w:t>等奖或前三名以上</w:t>
            </w:r>
          </w:p>
        </w:tc>
        <w:tc>
          <w:tcPr>
            <w:tcW w:w="1029"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1243"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14</w:t>
            </w:r>
          </w:p>
        </w:tc>
        <w:tc>
          <w:tcPr>
            <w:tcW w:w="1282"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10</w:t>
            </w:r>
          </w:p>
        </w:tc>
        <w:tc>
          <w:tcPr>
            <w:tcW w:w="890"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3</w:t>
            </w:r>
          </w:p>
        </w:tc>
        <w:tc>
          <w:tcPr>
            <w:tcW w:w="2528" w:type="dxa"/>
            <w:vAlign w:val="center"/>
          </w:tcPr>
          <w:p>
            <w:pPr>
              <w:widowControl w:val="0"/>
              <w:kinsoku/>
              <w:autoSpaceDN/>
              <w:spacing w:before="30"/>
              <w:jc w:val="center"/>
              <w:rPr>
                <w:rFonts w:hint="default" w:ascii="楷体" w:hAnsi="楷体" w:eastAsia="楷体" w:cs="楷体"/>
                <w:color w:val="auto"/>
                <w:sz w:val="21"/>
                <w:szCs w:val="21"/>
                <w:lang w:val="en-US" w:eastAsia="zh-CN"/>
              </w:rPr>
            </w:pPr>
            <w:r>
              <w:rPr>
                <w:rFonts w:hint="eastAsia" w:ascii="楷体" w:hAnsi="楷体" w:eastAsia="楷体" w:cs="楷体"/>
                <w:color w:val="auto"/>
                <w:spacing w:val="-1"/>
                <w:sz w:val="21"/>
                <w:szCs w:val="21"/>
              </w:rPr>
              <w:t>省级</w:t>
            </w:r>
            <w:r>
              <w:rPr>
                <w:rFonts w:hint="eastAsia" w:ascii="楷体" w:hAnsi="楷体" w:eastAsia="楷体" w:cs="楷体"/>
                <w:color w:val="auto"/>
                <w:spacing w:val="-1"/>
                <w:sz w:val="21"/>
                <w:szCs w:val="21"/>
                <w:lang w:val="en-US" w:eastAsia="zh-CN"/>
              </w:rPr>
              <w:t>二等奖及以下</w:t>
            </w:r>
          </w:p>
          <w:p>
            <w:pPr>
              <w:widowControl w:val="0"/>
              <w:kinsoku/>
              <w:autoSpaceDN/>
              <w:spacing w:before="30"/>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rPr>
              <w:t>校</w:t>
            </w:r>
            <w:r>
              <w:rPr>
                <w:rFonts w:hint="eastAsia" w:ascii="楷体" w:hAnsi="楷体" w:eastAsia="楷体" w:cs="楷体"/>
                <w:color w:val="auto"/>
                <w:sz w:val="21"/>
                <w:szCs w:val="21"/>
                <w:lang w:val="en-US" w:eastAsia="zh-CN"/>
              </w:rPr>
              <w:t>级</w:t>
            </w:r>
            <w:r>
              <w:rPr>
                <w:rFonts w:hint="eastAsia" w:ascii="楷体" w:hAnsi="楷体" w:eastAsia="楷体" w:cs="楷体"/>
                <w:color w:val="auto"/>
                <w:sz w:val="21"/>
                <w:szCs w:val="21"/>
              </w:rPr>
              <w:t>一等奖或前三名以上</w:t>
            </w:r>
          </w:p>
        </w:tc>
        <w:tc>
          <w:tcPr>
            <w:tcW w:w="1029" w:type="dxa"/>
            <w:vAlign w:val="center"/>
          </w:tcPr>
          <w:p>
            <w:pPr>
              <w:widowControl w:val="0"/>
              <w:kinsoku/>
              <w:autoSpaceDN/>
              <w:spacing w:before="71"/>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8</w:t>
            </w:r>
          </w:p>
        </w:tc>
        <w:tc>
          <w:tcPr>
            <w:tcW w:w="1243" w:type="dxa"/>
            <w:vAlign w:val="center"/>
          </w:tcPr>
          <w:p>
            <w:pPr>
              <w:widowControl w:val="0"/>
              <w:kinsoku/>
              <w:autoSpaceDN/>
              <w:spacing w:before="6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6</w:t>
            </w:r>
          </w:p>
        </w:tc>
        <w:tc>
          <w:tcPr>
            <w:tcW w:w="1282" w:type="dxa"/>
            <w:vAlign w:val="center"/>
          </w:tcPr>
          <w:p>
            <w:pPr>
              <w:widowControl w:val="0"/>
              <w:kinsoku/>
              <w:autoSpaceDN/>
              <w:spacing w:before="6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890" w:type="dxa"/>
            <w:vAlign w:val="center"/>
          </w:tcPr>
          <w:p>
            <w:pPr>
              <w:widowControl w:val="0"/>
              <w:kinsoku/>
              <w:autoSpaceDN/>
              <w:spacing w:before="71"/>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8</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4"/>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4</w:t>
            </w:r>
          </w:p>
        </w:tc>
        <w:tc>
          <w:tcPr>
            <w:tcW w:w="2528" w:type="dxa"/>
            <w:vAlign w:val="center"/>
          </w:tcPr>
          <w:p>
            <w:pPr>
              <w:widowControl w:val="0"/>
              <w:kinsoku/>
              <w:autoSpaceDN/>
              <w:spacing w:before="34"/>
              <w:jc w:val="center"/>
              <w:rPr>
                <w:rFonts w:hint="eastAsia" w:ascii="楷体" w:hAnsi="楷体" w:eastAsia="楷体" w:cs="楷体"/>
                <w:color w:val="auto"/>
                <w:sz w:val="21"/>
                <w:szCs w:val="21"/>
              </w:rPr>
            </w:pPr>
            <w:r>
              <w:rPr>
                <w:rFonts w:hint="eastAsia" w:ascii="楷体" w:hAnsi="楷体" w:eastAsia="楷体" w:cs="楷体"/>
                <w:color w:val="auto"/>
                <w:sz w:val="21"/>
                <w:szCs w:val="21"/>
              </w:rPr>
              <w:t>校级</w:t>
            </w:r>
            <w:r>
              <w:rPr>
                <w:rFonts w:hint="eastAsia" w:ascii="楷体" w:hAnsi="楷体" w:eastAsia="楷体" w:cs="楷体"/>
                <w:color w:val="auto"/>
                <w:spacing w:val="-1"/>
                <w:sz w:val="21"/>
                <w:szCs w:val="21"/>
                <w:lang w:val="en-US" w:eastAsia="zh-CN"/>
              </w:rPr>
              <w:t>二等奖及以下</w:t>
            </w:r>
          </w:p>
          <w:p>
            <w:pPr>
              <w:widowControl w:val="0"/>
              <w:kinsoku/>
              <w:autoSpaceDN/>
              <w:spacing w:before="3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rPr>
              <w:t>学院一等奖或前三名以上</w:t>
            </w:r>
          </w:p>
        </w:tc>
        <w:tc>
          <w:tcPr>
            <w:tcW w:w="1029" w:type="dxa"/>
            <w:vAlign w:val="center"/>
          </w:tcPr>
          <w:p>
            <w:pPr>
              <w:widowControl w:val="0"/>
              <w:kinsoku/>
              <w:autoSpaceDN/>
              <w:spacing w:before="7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1243"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6"/>
                <w:sz w:val="21"/>
                <w:szCs w:val="21"/>
                <w:lang w:val="en-US" w:eastAsia="zh-CN"/>
              </w:rPr>
              <w:t>3.2</w:t>
            </w:r>
          </w:p>
        </w:tc>
        <w:tc>
          <w:tcPr>
            <w:tcW w:w="1282"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6"/>
                <w:sz w:val="21"/>
                <w:szCs w:val="21"/>
                <w:lang w:val="en-US" w:eastAsia="zh-CN"/>
              </w:rPr>
              <w:t>2.4</w:t>
            </w:r>
          </w:p>
        </w:tc>
        <w:tc>
          <w:tcPr>
            <w:tcW w:w="890" w:type="dxa"/>
            <w:vAlign w:val="center"/>
          </w:tcPr>
          <w:p>
            <w:pPr>
              <w:widowControl w:val="0"/>
              <w:kinsoku/>
              <w:autoSpaceDN/>
              <w:spacing w:before="7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5</w:t>
            </w:r>
          </w:p>
        </w:tc>
        <w:tc>
          <w:tcPr>
            <w:tcW w:w="2528" w:type="dxa"/>
            <w:vAlign w:val="center"/>
          </w:tcPr>
          <w:p>
            <w:pPr>
              <w:widowControl w:val="0"/>
              <w:kinsoku/>
              <w:autoSpaceDN/>
              <w:spacing w:before="3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rPr>
              <w:t>学院</w:t>
            </w:r>
            <w:r>
              <w:rPr>
                <w:rFonts w:hint="eastAsia" w:ascii="楷体" w:hAnsi="楷体" w:eastAsia="楷体" w:cs="楷体"/>
                <w:color w:val="auto"/>
                <w:spacing w:val="-2"/>
                <w:sz w:val="21"/>
                <w:szCs w:val="21"/>
              </w:rPr>
              <w:t>级</w:t>
            </w:r>
            <w:r>
              <w:rPr>
                <w:rFonts w:hint="eastAsia" w:ascii="楷体" w:hAnsi="楷体" w:eastAsia="楷体" w:cs="楷体"/>
                <w:color w:val="auto"/>
                <w:spacing w:val="-1"/>
                <w:sz w:val="21"/>
                <w:szCs w:val="21"/>
                <w:lang w:val="en-US" w:eastAsia="zh-CN"/>
              </w:rPr>
              <w:t>二等奖及以下</w:t>
            </w:r>
          </w:p>
        </w:tc>
        <w:tc>
          <w:tcPr>
            <w:tcW w:w="1029" w:type="dxa"/>
            <w:vAlign w:val="center"/>
          </w:tcPr>
          <w:p>
            <w:pPr>
              <w:widowControl w:val="0"/>
              <w:kinsoku/>
              <w:autoSpaceDN/>
              <w:spacing w:before="7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2</w:t>
            </w:r>
          </w:p>
        </w:tc>
        <w:tc>
          <w:tcPr>
            <w:tcW w:w="1243"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1.6</w:t>
            </w:r>
          </w:p>
        </w:tc>
        <w:tc>
          <w:tcPr>
            <w:tcW w:w="1282"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1.2</w:t>
            </w:r>
          </w:p>
        </w:tc>
        <w:tc>
          <w:tcPr>
            <w:tcW w:w="890" w:type="dxa"/>
            <w:vAlign w:val="center"/>
          </w:tcPr>
          <w:p>
            <w:pPr>
              <w:widowControl w:val="0"/>
              <w:kinsoku/>
              <w:autoSpaceDN/>
              <w:spacing w:before="7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2</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restart"/>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荣誉</w:t>
            </w: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6</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国家级</w:t>
            </w:r>
          </w:p>
        </w:tc>
        <w:tc>
          <w:tcPr>
            <w:tcW w:w="1029"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40</w:t>
            </w:r>
          </w:p>
        </w:tc>
        <w:tc>
          <w:tcPr>
            <w:tcW w:w="1243" w:type="dxa"/>
            <w:vAlign w:val="center"/>
          </w:tcPr>
          <w:p>
            <w:pPr>
              <w:widowControl w:val="0"/>
              <w:kinsoku/>
              <w:autoSpaceDN/>
              <w:jc w:val="center"/>
              <w:rPr>
                <w:rFonts w:hint="default"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24</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40</w:t>
            </w:r>
          </w:p>
        </w:tc>
        <w:tc>
          <w:tcPr>
            <w:tcW w:w="7016" w:type="dxa"/>
            <w:vMerge w:val="restart"/>
            <w:vAlign w:val="center"/>
          </w:tcPr>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国家级、省级荣誉包括大学生年度人物、两红两优、先进班集体、省三好/优干、样板党支部等竞争性、综合性荣誉表彰或其他经学办认定的荣誉称号；</w:t>
            </w:r>
          </w:p>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校级荣誉包括最具影响力本科生、优秀志愿者(综合性)、先进班集体、十佳党支部、国旗团支部(含提名、入围)等竞争性、综合性荣誉或其他影响力相当的荣誉称号；</w:t>
            </w:r>
          </w:p>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集体荣誉指由学院内学生集体获得， 不包括院外学生社团或集体；</w:t>
            </w:r>
          </w:p>
          <w:p>
            <w:pPr>
              <w:widowControl w:val="0"/>
              <w:numPr>
                <w:ilvl w:val="0"/>
                <w:numId w:val="6"/>
              </w:numPr>
              <w:kinsoku/>
              <w:autoSpaceDN/>
              <w:jc w:val="both"/>
              <w:rPr>
                <w:rFonts w:hint="eastAsia" w:ascii="楷体" w:hAnsi="楷体" w:eastAsia="楷体" w:cs="楷体"/>
                <w:color w:val="auto"/>
                <w:spacing w:val="-3"/>
                <w:sz w:val="21"/>
                <w:szCs w:val="21"/>
              </w:rPr>
            </w:pPr>
            <w:r>
              <w:rPr>
                <w:rFonts w:hint="eastAsia" w:ascii="楷体" w:hAnsi="楷体" w:eastAsia="楷体" w:cs="楷体"/>
                <w:color w:val="auto"/>
                <w:spacing w:val="-4"/>
                <w:sz w:val="21"/>
                <w:szCs w:val="21"/>
              </w:rPr>
              <w:t>集体荣誉中，负责人指班长、团支书、党支书、学生会成员、崇文工作站负责人等；</w:t>
            </w:r>
            <w:r>
              <w:rPr>
                <w:rFonts w:hint="eastAsia" w:ascii="楷体" w:hAnsi="楷体" w:eastAsia="楷体" w:cs="楷体"/>
                <w:color w:val="auto"/>
                <w:spacing w:val="-4"/>
                <w:sz w:val="21"/>
                <w:szCs w:val="21"/>
                <w:lang w:val="en-US" w:eastAsia="zh-CN"/>
              </w:rPr>
              <w:t>主要参与人</w:t>
            </w:r>
            <w:r>
              <w:rPr>
                <w:rFonts w:hint="eastAsia" w:ascii="楷体" w:hAnsi="楷体" w:eastAsia="楷体" w:cs="楷体"/>
                <w:color w:val="auto"/>
                <w:spacing w:val="-4"/>
                <w:sz w:val="21"/>
                <w:szCs w:val="21"/>
              </w:rPr>
              <w:t>指班委、支委、学生会部门负责人等，至多5人；</w:t>
            </w:r>
          </w:p>
          <w:p>
            <w:pPr>
              <w:widowControl w:val="0"/>
              <w:numPr>
                <w:ilvl w:val="0"/>
                <w:numId w:val="6"/>
              </w:numPr>
              <w:kinsoku/>
              <w:autoSpaceDN/>
              <w:jc w:val="both"/>
              <w:rPr>
                <w:rFonts w:hint="eastAsia" w:ascii="楷体" w:hAnsi="楷体" w:eastAsia="楷体" w:cs="楷体"/>
                <w:color w:val="auto"/>
                <w:spacing w:val="-3"/>
                <w:sz w:val="21"/>
                <w:szCs w:val="21"/>
              </w:rPr>
            </w:pPr>
            <w:r>
              <w:rPr>
                <w:rFonts w:hint="eastAsia" w:ascii="楷体" w:hAnsi="楷体" w:eastAsia="楷体" w:cs="楷体"/>
                <w:color w:val="auto"/>
                <w:spacing w:val="2"/>
                <w:sz w:val="21"/>
                <w:szCs w:val="21"/>
              </w:rPr>
              <w:t>各类荣誉如仅通过院内评审而未参与外部竞争，如</w:t>
            </w:r>
            <w:r>
              <w:rPr>
                <w:rFonts w:hint="eastAsia" w:ascii="楷体" w:hAnsi="楷体" w:eastAsia="楷体" w:cs="楷体"/>
                <w:color w:val="auto"/>
                <w:spacing w:val="1"/>
                <w:sz w:val="21"/>
                <w:szCs w:val="21"/>
              </w:rPr>
              <w:t>三好、优干、优秀团员、优秀党员等，不计算积分；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7</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省级</w:t>
            </w:r>
          </w:p>
        </w:tc>
        <w:tc>
          <w:tcPr>
            <w:tcW w:w="1029"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20</w:t>
            </w:r>
          </w:p>
        </w:tc>
        <w:tc>
          <w:tcPr>
            <w:tcW w:w="1243" w:type="dxa"/>
            <w:vAlign w:val="center"/>
          </w:tcPr>
          <w:p>
            <w:pPr>
              <w:widowControl w:val="0"/>
              <w:kinsoku/>
              <w:autoSpaceDN/>
              <w:jc w:val="center"/>
              <w:rPr>
                <w:rFonts w:hint="default"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12</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20</w:t>
            </w:r>
          </w:p>
        </w:tc>
        <w:tc>
          <w:tcPr>
            <w:tcW w:w="7016" w:type="dxa"/>
            <w:vMerge w:val="continue"/>
            <w:vAlign w:val="center"/>
          </w:tcPr>
          <w:p>
            <w:pPr>
              <w:widowControl w:val="0"/>
              <w:kinsoku/>
              <w:autoSpaceDN/>
              <w:spacing w:before="66"/>
              <w:ind w:left="535"/>
              <w:jc w:val="center"/>
              <w:rPr>
                <w:rFonts w:hint="eastAsia" w:ascii="楷体" w:hAnsi="楷体" w:eastAsia="楷体" w:cs="楷体"/>
                <w:color w:val="auto"/>
                <w:spacing w:val="-4"/>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8</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校级</w:t>
            </w:r>
          </w:p>
        </w:tc>
        <w:tc>
          <w:tcPr>
            <w:tcW w:w="1029"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8</w:t>
            </w:r>
          </w:p>
        </w:tc>
        <w:tc>
          <w:tcPr>
            <w:tcW w:w="1243"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4</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8</w:t>
            </w:r>
          </w:p>
        </w:tc>
        <w:tc>
          <w:tcPr>
            <w:tcW w:w="7016" w:type="dxa"/>
            <w:vMerge w:val="continue"/>
            <w:vAlign w:val="center"/>
          </w:tcPr>
          <w:p>
            <w:pPr>
              <w:widowControl w:val="0"/>
              <w:kinsoku/>
              <w:autoSpaceDN/>
              <w:spacing w:before="67"/>
              <w:ind w:left="578"/>
              <w:jc w:val="center"/>
              <w:rPr>
                <w:rFonts w:hint="eastAsia" w:ascii="楷体" w:hAnsi="楷体" w:eastAsia="楷体" w:cs="楷体"/>
                <w:color w:val="auto"/>
                <w:sz w:val="21"/>
                <w:szCs w:val="21"/>
              </w:rPr>
            </w:pPr>
          </w:p>
        </w:tc>
      </w:tr>
    </w:tbl>
    <w:p>
      <w:pPr>
        <w:widowControl w:val="0"/>
        <w:kinsoku/>
        <w:autoSpaceDN/>
        <w:ind w:right="49"/>
        <w:rPr>
          <w:rFonts w:hint="eastAsia" w:ascii="楷体" w:hAnsi="楷体" w:eastAsia="楷体" w:cs="楷体"/>
          <w:color w:val="auto"/>
          <w:spacing w:val="2"/>
        </w:rPr>
      </w:pPr>
    </w:p>
    <w:p>
      <w:pPr>
        <w:widowControl w:val="0"/>
        <w:kinsoku/>
        <w:autoSpaceDN/>
        <w:ind w:right="49"/>
        <w:rPr>
          <w:rFonts w:ascii="楷体" w:hAnsi="楷体" w:eastAsia="楷体" w:cs="楷体"/>
          <w:color w:val="auto"/>
          <w:spacing w:val="2"/>
        </w:rPr>
      </w:pPr>
      <w:r>
        <w:rPr>
          <w:rFonts w:hint="eastAsia" w:ascii="楷体" w:hAnsi="楷体" w:eastAsia="楷体" w:cs="楷体"/>
          <w:color w:val="auto"/>
          <w:spacing w:val="2"/>
        </w:rPr>
        <w:t>注：</w:t>
      </w:r>
    </w:p>
    <w:p>
      <w:pPr>
        <w:widowControl w:val="0"/>
        <w:numPr>
          <w:ilvl w:val="0"/>
          <w:numId w:val="7"/>
        </w:numPr>
        <w:kinsoku/>
        <w:autoSpaceDN/>
        <w:ind w:right="49"/>
        <w:rPr>
          <w:rFonts w:ascii="楷体" w:hAnsi="楷体" w:eastAsia="楷体" w:cs="楷体"/>
          <w:color w:val="auto"/>
          <w:spacing w:val="3"/>
        </w:rPr>
      </w:pPr>
      <w:r>
        <w:rPr>
          <w:rFonts w:hint="eastAsia" w:ascii="楷体" w:hAnsi="楷体" w:eastAsia="楷体" w:cs="楷体"/>
          <w:color w:val="auto"/>
          <w:spacing w:val="2"/>
        </w:rPr>
        <w:t>同一内容计分按最高级别计，不重复累加；如周期跨两次奖励申请区间，则需扣除之前的有效申</w:t>
      </w:r>
      <w:r>
        <w:rPr>
          <w:rFonts w:hint="eastAsia" w:ascii="楷体" w:hAnsi="楷体" w:eastAsia="楷体" w:cs="楷体"/>
          <w:color w:val="auto"/>
          <w:spacing w:val="1"/>
        </w:rPr>
        <w:t>请得分；</w:t>
      </w:r>
      <w:r>
        <w:rPr>
          <w:rFonts w:hint="eastAsia" w:ascii="楷体" w:hAnsi="楷体" w:eastAsia="楷体" w:cs="楷体"/>
          <w:color w:val="auto"/>
          <w:spacing w:val="2"/>
          <w:lang w:val="en-US" w:eastAsia="zh-CN"/>
        </w:rPr>
        <w:t>参与社会活动获得荣誉及奖励积分</w:t>
      </w:r>
      <w:r>
        <w:rPr>
          <w:rFonts w:hint="eastAsia" w:ascii="楷体" w:hAnsi="楷体" w:eastAsia="楷体" w:cs="楷体"/>
          <w:color w:val="auto"/>
          <w:spacing w:val="2"/>
        </w:rPr>
        <w:t>一</w:t>
      </w:r>
      <w:r>
        <w:rPr>
          <w:rFonts w:hint="eastAsia" w:ascii="楷体" w:hAnsi="楷体" w:eastAsia="楷体" w:cs="楷体"/>
          <w:color w:val="auto"/>
          <w:spacing w:val="1"/>
        </w:rPr>
        <w:t>年不超过</w:t>
      </w:r>
      <w:r>
        <w:rPr>
          <w:rFonts w:hint="eastAsia" w:ascii="楷体" w:hAnsi="楷体" w:eastAsia="楷体" w:cs="楷体"/>
          <w:color w:val="auto"/>
          <w:spacing w:val="1"/>
          <w:lang w:val="en-US" w:eastAsia="zh-CN"/>
        </w:rPr>
        <w:t>40</w:t>
      </w:r>
      <w:r>
        <w:rPr>
          <w:rFonts w:hint="eastAsia" w:ascii="楷体" w:hAnsi="楷体" w:eastAsia="楷体" w:cs="楷体"/>
          <w:color w:val="auto"/>
          <w:spacing w:val="2"/>
        </w:rPr>
        <w:t>分；社会活动及获得荣誉</w:t>
      </w:r>
      <w:r>
        <w:rPr>
          <w:rFonts w:hint="eastAsia" w:ascii="楷体" w:hAnsi="楷体" w:eastAsia="楷体" w:cs="楷体"/>
          <w:color w:val="auto"/>
          <w:spacing w:val="2"/>
          <w:lang w:val="en-US" w:eastAsia="zh-CN"/>
        </w:rPr>
        <w:t>与奖励</w:t>
      </w:r>
      <w:r>
        <w:rPr>
          <w:rFonts w:hint="eastAsia" w:ascii="楷体" w:hAnsi="楷体" w:eastAsia="楷体" w:cs="楷体"/>
          <w:color w:val="auto"/>
          <w:spacing w:val="2"/>
        </w:rPr>
        <w:t>计分总分一年最高不超</w:t>
      </w:r>
      <w:r>
        <w:rPr>
          <w:rFonts w:hint="eastAsia" w:ascii="楷体" w:hAnsi="楷体" w:eastAsia="楷体" w:cs="楷体"/>
          <w:color w:val="auto"/>
          <w:spacing w:val="-2"/>
        </w:rPr>
        <w:t>过</w:t>
      </w:r>
      <w:r>
        <w:rPr>
          <w:rFonts w:hint="eastAsia" w:ascii="楷体" w:hAnsi="楷体" w:eastAsia="楷体" w:cs="楷体"/>
          <w:color w:val="auto"/>
          <w:spacing w:val="-2"/>
          <w:lang w:val="en-US" w:eastAsia="zh-CN"/>
        </w:rPr>
        <w:t>60</w:t>
      </w:r>
      <w:r>
        <w:rPr>
          <w:rFonts w:hint="eastAsia" w:ascii="楷体" w:hAnsi="楷体" w:eastAsia="楷体" w:cs="楷体"/>
          <w:color w:val="auto"/>
          <w:spacing w:val="-2"/>
        </w:rPr>
        <w:t>分。</w:t>
      </w:r>
    </w:p>
    <w:p>
      <w:pPr>
        <w:widowControl w:val="0"/>
        <w:numPr>
          <w:ilvl w:val="0"/>
          <w:numId w:val="7"/>
        </w:numPr>
        <w:kinsoku/>
        <w:autoSpaceDN/>
        <w:ind w:right="49"/>
        <w:rPr>
          <w:rFonts w:ascii="楷体" w:hAnsi="楷体" w:eastAsia="楷体" w:cs="楷体"/>
          <w:color w:val="auto"/>
        </w:rPr>
      </w:pPr>
      <w:r>
        <w:rPr>
          <w:rFonts w:hint="eastAsia" w:ascii="楷体" w:hAnsi="楷体" w:eastAsia="楷体" w:cs="楷体"/>
          <w:color w:val="auto"/>
          <w:spacing w:val="6"/>
        </w:rPr>
        <w:t>参与或组织由</w:t>
      </w:r>
      <w:r>
        <w:rPr>
          <w:rFonts w:hint="eastAsia" w:ascii="楷体" w:hAnsi="楷体" w:eastAsia="楷体" w:cs="楷体"/>
          <w:color w:val="auto"/>
          <w:spacing w:val="3"/>
        </w:rPr>
        <w:t>院学办事先认可的学校、学院、学生社团的重大活动，根据参与程度和工作量，积分可以上浮但最高不超过一倍。</w:t>
      </w:r>
    </w:p>
    <w:p>
      <w:pPr>
        <w:widowControl w:val="0"/>
        <w:numPr>
          <w:ilvl w:val="0"/>
          <w:numId w:val="7"/>
        </w:numPr>
        <w:kinsoku/>
        <w:autoSpaceDN/>
        <w:ind w:right="49"/>
        <w:rPr>
          <w:rFonts w:ascii="楷体" w:hAnsi="楷体" w:eastAsia="楷体" w:cs="楷体"/>
          <w:color w:val="auto"/>
        </w:rPr>
      </w:pPr>
      <w:r>
        <w:rPr>
          <w:rFonts w:hint="eastAsia" w:ascii="楷体" w:hAnsi="楷体" w:eastAsia="楷体" w:cs="楷体"/>
          <w:color w:val="auto"/>
          <w:spacing w:val="2"/>
        </w:rPr>
        <w:t>未涉及的活动、奖项、荣誉称号需由院学办会同评委会根据实际情况讨论认定。</w:t>
      </w:r>
    </w:p>
    <w:p>
      <w:pPr>
        <w:rPr>
          <w:rFonts w:ascii="楷体" w:hAnsi="楷体" w:eastAsia="楷体" w:cs="楷体"/>
          <w:color w:val="auto"/>
        </w:rPr>
      </w:pPr>
      <w:r>
        <w:rPr>
          <w:rFonts w:hint="eastAsia" w:ascii="楷体" w:hAnsi="楷体" w:eastAsia="楷体" w:cs="楷体"/>
          <w:color w:val="auto"/>
          <w:spacing w:val="2"/>
        </w:rPr>
        <w:br w:type="page"/>
      </w:r>
    </w:p>
    <w:p>
      <w:pPr>
        <w:widowControl w:val="0"/>
        <w:numPr>
          <w:ilvl w:val="0"/>
          <w:numId w:val="2"/>
        </w:numPr>
        <w:kinsoku/>
        <w:autoSpaceDN/>
        <w:spacing w:before="30" w:line="560" w:lineRule="exact"/>
        <w:ind w:left="9"/>
        <w:outlineLvl w:val="6"/>
        <w:rPr>
          <w:rFonts w:ascii="宋体" w:hAnsi="宋体" w:eastAsia="宋体" w:cs="宋体"/>
          <w:color w:val="auto"/>
          <w:spacing w:val="-1"/>
          <w:sz w:val="24"/>
          <w:szCs w:val="24"/>
        </w:rPr>
      </w:pPr>
      <w:r>
        <w:rPr>
          <w:rFonts w:hint="eastAsia" w:ascii="宋体" w:hAnsi="宋体" w:eastAsia="宋体" w:cs="宋体"/>
          <w:color w:val="auto"/>
          <w:spacing w:val="-1"/>
          <w:sz w:val="24"/>
          <w:szCs w:val="24"/>
        </w:rPr>
        <w:t>学生工作任职计分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p>
      <w:pPr>
        <w:widowControl w:val="0"/>
        <w:kinsoku/>
        <w:autoSpaceDN/>
        <w:spacing w:before="22"/>
        <w:rPr>
          <w:rFonts w:ascii="宋体" w:hAnsi="宋体" w:eastAsia="宋体" w:cs="宋体"/>
          <w:color w:val="auto"/>
          <w:sz w:val="24"/>
          <w:szCs w:val="24"/>
        </w:rPr>
      </w:pPr>
      <w:r>
        <w:rPr>
          <w:rFonts w:hint="eastAsia" w:ascii="宋体" w:hAnsi="宋体" w:eastAsia="宋体" w:cs="宋体"/>
          <w:color w:val="auto"/>
          <w:spacing w:val="-3"/>
          <w:sz w:val="24"/>
          <w:szCs w:val="24"/>
        </w:rPr>
        <w:t>(1)校学生会、学生团体联合会主席团成员计</w:t>
      </w:r>
      <w:r>
        <w:rPr>
          <w:rFonts w:hint="eastAsia" w:ascii="宋体" w:hAnsi="宋体" w:eastAsia="宋体" w:cs="宋体"/>
          <w:color w:val="auto"/>
          <w:spacing w:val="-3"/>
          <w:sz w:val="24"/>
          <w:szCs w:val="24"/>
          <w:lang w:val="en-US" w:eastAsia="zh-CN"/>
        </w:rPr>
        <w:t>28</w:t>
      </w:r>
      <w:r>
        <w:rPr>
          <w:rFonts w:hint="eastAsia" w:ascii="宋体" w:hAnsi="宋体" w:eastAsia="宋体" w:cs="宋体"/>
          <w:color w:val="auto"/>
          <w:spacing w:val="-3"/>
          <w:sz w:val="24"/>
          <w:szCs w:val="24"/>
        </w:rPr>
        <w:t>分，部门主要负责人计</w:t>
      </w:r>
      <w:r>
        <w:rPr>
          <w:rFonts w:hint="eastAsia" w:ascii="宋体" w:hAnsi="宋体" w:eastAsia="宋体" w:cs="宋体"/>
          <w:color w:val="auto"/>
          <w:spacing w:val="-3"/>
          <w:sz w:val="24"/>
          <w:szCs w:val="24"/>
          <w:lang w:val="en-US" w:eastAsia="zh-CN"/>
        </w:rPr>
        <w:t>20</w:t>
      </w:r>
      <w:r>
        <w:rPr>
          <w:rFonts w:hint="eastAsia" w:ascii="宋体" w:hAnsi="宋体" w:eastAsia="宋体" w:cs="宋体"/>
          <w:color w:val="auto"/>
          <w:spacing w:val="-3"/>
          <w:sz w:val="24"/>
          <w:szCs w:val="24"/>
        </w:rPr>
        <w:t>分，其他负责人计</w:t>
      </w:r>
      <w:r>
        <w:rPr>
          <w:rFonts w:hint="eastAsia" w:ascii="宋体" w:hAnsi="宋体" w:eastAsia="宋体" w:cs="宋体"/>
          <w:color w:val="auto"/>
          <w:spacing w:val="-3"/>
          <w:sz w:val="24"/>
          <w:szCs w:val="24"/>
          <w:lang w:val="en-US" w:eastAsia="zh-CN"/>
        </w:rPr>
        <w:t>12</w:t>
      </w:r>
      <w:r>
        <w:rPr>
          <w:rFonts w:hint="eastAsia" w:ascii="宋体" w:hAnsi="宋体" w:eastAsia="宋体" w:cs="宋体"/>
          <w:color w:val="auto"/>
          <w:spacing w:val="-3"/>
          <w:sz w:val="24"/>
          <w:szCs w:val="24"/>
        </w:rPr>
        <w:t>分，工作人员计</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widowControl w:val="0"/>
        <w:kinsoku/>
        <w:autoSpaceDN/>
        <w:spacing w:before="20"/>
        <w:rPr>
          <w:rFonts w:ascii="宋体" w:hAnsi="宋体" w:eastAsia="宋体" w:cs="宋体"/>
          <w:color w:val="auto"/>
          <w:sz w:val="24"/>
          <w:szCs w:val="24"/>
        </w:rPr>
      </w:pPr>
      <w:r>
        <w:rPr>
          <w:rFonts w:hint="eastAsia" w:ascii="宋体" w:hAnsi="宋体" w:eastAsia="宋体" w:cs="宋体"/>
          <w:color w:val="auto"/>
          <w:spacing w:val="14"/>
          <w:sz w:val="24"/>
          <w:szCs w:val="24"/>
        </w:rPr>
        <w:t>(2)</w:t>
      </w:r>
      <w:r>
        <w:rPr>
          <w:rFonts w:hint="eastAsia" w:ascii="宋体" w:hAnsi="宋体" w:eastAsia="宋体" w:cs="宋体"/>
          <w:color w:val="auto"/>
          <w:spacing w:val="7"/>
          <w:sz w:val="24"/>
          <w:szCs w:val="24"/>
        </w:rPr>
        <w:t>院团委副书记(学生)计</w:t>
      </w:r>
      <w:r>
        <w:rPr>
          <w:rFonts w:hint="eastAsia" w:ascii="宋体" w:hAnsi="宋体" w:eastAsia="宋体" w:cs="宋体"/>
          <w:color w:val="auto"/>
          <w:spacing w:val="7"/>
          <w:sz w:val="24"/>
          <w:szCs w:val="24"/>
          <w:lang w:val="en-US" w:eastAsia="zh-CN"/>
        </w:rPr>
        <w:t>20</w:t>
      </w:r>
      <w:r>
        <w:rPr>
          <w:rFonts w:hint="eastAsia" w:ascii="宋体" w:hAnsi="宋体" w:eastAsia="宋体" w:cs="宋体"/>
          <w:color w:val="auto"/>
          <w:spacing w:val="7"/>
          <w:sz w:val="24"/>
          <w:szCs w:val="24"/>
        </w:rPr>
        <w:t>分，院团委各部门负责人计</w:t>
      </w:r>
      <w:r>
        <w:rPr>
          <w:rFonts w:hint="eastAsia" w:ascii="宋体" w:hAnsi="宋体" w:eastAsia="宋体" w:cs="宋体"/>
          <w:color w:val="auto"/>
          <w:spacing w:val="7"/>
          <w:sz w:val="24"/>
          <w:szCs w:val="24"/>
          <w:lang w:val="en-US" w:eastAsia="zh-CN"/>
        </w:rPr>
        <w:t>16</w:t>
      </w:r>
      <w:r>
        <w:rPr>
          <w:rFonts w:hint="eastAsia" w:ascii="宋体" w:hAnsi="宋体" w:eastAsia="宋体" w:cs="宋体"/>
          <w:color w:val="auto"/>
          <w:spacing w:val="7"/>
          <w:sz w:val="24"/>
          <w:szCs w:val="24"/>
        </w:rPr>
        <w:t>分，工作人员</w:t>
      </w:r>
      <w:r>
        <w:rPr>
          <w:rFonts w:hint="eastAsia" w:ascii="宋体" w:hAnsi="宋体" w:eastAsia="宋体" w:cs="宋体"/>
          <w:color w:val="auto"/>
          <w:spacing w:val="7"/>
          <w:sz w:val="24"/>
          <w:szCs w:val="24"/>
          <w:lang w:val="en-US" w:eastAsia="zh-CN"/>
        </w:rPr>
        <w:t>4</w:t>
      </w:r>
      <w:r>
        <w:rPr>
          <w:rFonts w:hint="eastAsia" w:ascii="宋体" w:hAnsi="宋体" w:eastAsia="宋体" w:cs="宋体"/>
          <w:color w:val="auto"/>
          <w:spacing w:val="7"/>
          <w:sz w:val="24"/>
          <w:szCs w:val="24"/>
        </w:rPr>
        <w:t>分；</w:t>
      </w:r>
    </w:p>
    <w:p>
      <w:pPr>
        <w:widowControl w:val="0"/>
        <w:kinsoku/>
        <w:autoSpaceDN/>
        <w:spacing w:before="25"/>
        <w:ind w:right="1"/>
        <w:rPr>
          <w:rFonts w:ascii="宋体" w:hAnsi="宋体" w:eastAsia="宋体" w:cs="宋体"/>
          <w:color w:val="auto"/>
          <w:sz w:val="24"/>
          <w:szCs w:val="24"/>
        </w:rPr>
      </w:pPr>
      <w:r>
        <w:rPr>
          <w:rFonts w:hint="eastAsia" w:ascii="宋体" w:hAnsi="宋体" w:eastAsia="宋体" w:cs="宋体"/>
          <w:color w:val="auto"/>
          <w:spacing w:val="-1"/>
          <w:sz w:val="24"/>
          <w:szCs w:val="24"/>
        </w:rPr>
        <w:t>(3)院学生会主席团计</w:t>
      </w:r>
      <w:r>
        <w:rPr>
          <w:rFonts w:hint="eastAsia" w:ascii="宋体" w:hAnsi="宋体" w:eastAsia="宋体" w:cs="宋体"/>
          <w:color w:val="auto"/>
          <w:spacing w:val="-1"/>
          <w:sz w:val="24"/>
          <w:szCs w:val="24"/>
          <w:lang w:val="en-US" w:eastAsia="zh-CN"/>
        </w:rPr>
        <w:t>20</w:t>
      </w:r>
      <w:r>
        <w:rPr>
          <w:rFonts w:hint="eastAsia" w:ascii="宋体" w:hAnsi="宋体" w:eastAsia="宋体" w:cs="宋体"/>
          <w:color w:val="auto"/>
          <w:spacing w:val="-1"/>
          <w:sz w:val="24"/>
          <w:szCs w:val="24"/>
        </w:rPr>
        <w:t>分，部门主要负责人计</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1"/>
          <w:sz w:val="24"/>
          <w:szCs w:val="24"/>
        </w:rPr>
        <w:t>分，其他负责人计</w:t>
      </w:r>
      <w:r>
        <w:rPr>
          <w:rFonts w:hint="eastAsia" w:ascii="宋体" w:hAnsi="宋体" w:eastAsia="宋体" w:cs="宋体"/>
          <w:color w:val="auto"/>
          <w:spacing w:val="-1"/>
          <w:sz w:val="24"/>
          <w:szCs w:val="24"/>
          <w:lang w:val="en-US" w:eastAsia="zh-CN"/>
        </w:rPr>
        <w:t>8</w:t>
      </w:r>
      <w:r>
        <w:rPr>
          <w:rFonts w:hint="eastAsia" w:ascii="宋体" w:hAnsi="宋体" w:eastAsia="宋体" w:cs="宋体"/>
          <w:color w:val="auto"/>
          <w:spacing w:val="-1"/>
          <w:sz w:val="24"/>
          <w:szCs w:val="24"/>
        </w:rPr>
        <w:t>分，工作人员计</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分；</w:t>
      </w:r>
    </w:p>
    <w:p>
      <w:pPr>
        <w:widowControl w:val="0"/>
        <w:kinsoku/>
        <w:autoSpaceDN/>
        <w:spacing w:before="2"/>
        <w:rPr>
          <w:rFonts w:ascii="宋体" w:hAnsi="宋体" w:eastAsia="宋体" w:cs="宋体"/>
          <w:color w:val="auto"/>
          <w:sz w:val="24"/>
          <w:szCs w:val="24"/>
        </w:rPr>
      </w:pPr>
      <w:r>
        <w:rPr>
          <w:rFonts w:hint="eastAsia" w:ascii="宋体" w:hAnsi="宋体" w:eastAsia="宋体" w:cs="宋体"/>
          <w:color w:val="auto"/>
          <w:spacing w:val="-1"/>
          <w:sz w:val="24"/>
          <w:szCs w:val="24"/>
        </w:rPr>
        <w:t>(4)崇文党建工作站主要负责</w:t>
      </w:r>
      <w:r>
        <w:rPr>
          <w:rFonts w:hint="eastAsia" w:ascii="宋体" w:hAnsi="宋体" w:eastAsia="宋体" w:cs="宋体"/>
          <w:color w:val="auto"/>
          <w:sz w:val="24"/>
          <w:szCs w:val="24"/>
        </w:rPr>
        <w:t>人计</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分，部门负责人计</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分，工作人</w:t>
      </w:r>
      <w:r>
        <w:rPr>
          <w:rFonts w:hint="eastAsia" w:ascii="宋体" w:hAnsi="宋体" w:eastAsia="宋体" w:cs="宋体"/>
          <w:color w:val="auto"/>
          <w:spacing w:val="-5"/>
          <w:sz w:val="24"/>
          <w:szCs w:val="24"/>
        </w:rPr>
        <w:t>员计</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5"/>
          <w:sz w:val="24"/>
          <w:szCs w:val="24"/>
        </w:rPr>
        <w:t>分</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本科生党支部书记计</w:t>
      </w:r>
      <w:r>
        <w:rPr>
          <w:rFonts w:hint="eastAsia" w:ascii="宋体" w:hAnsi="宋体" w:eastAsia="宋体" w:cs="宋体"/>
          <w:color w:val="auto"/>
          <w:spacing w:val="-5"/>
          <w:sz w:val="24"/>
          <w:szCs w:val="24"/>
          <w:lang w:val="en-US" w:eastAsia="zh-CN"/>
        </w:rPr>
        <w:t>20</w:t>
      </w:r>
      <w:r>
        <w:rPr>
          <w:rFonts w:hint="eastAsia" w:ascii="宋体" w:hAnsi="宋体" w:eastAsia="宋体" w:cs="宋体"/>
          <w:color w:val="auto"/>
          <w:spacing w:val="-5"/>
          <w:sz w:val="24"/>
          <w:szCs w:val="24"/>
        </w:rPr>
        <w:t>分，支委计</w:t>
      </w:r>
      <w:r>
        <w:rPr>
          <w:rFonts w:hint="eastAsia" w:ascii="宋体" w:hAnsi="宋体" w:eastAsia="宋体" w:cs="宋体"/>
          <w:color w:val="auto"/>
          <w:spacing w:val="-5"/>
          <w:sz w:val="24"/>
          <w:szCs w:val="24"/>
          <w:lang w:val="en-US" w:eastAsia="zh-CN"/>
        </w:rPr>
        <w:t>16</w:t>
      </w:r>
      <w:r>
        <w:rPr>
          <w:rFonts w:hint="eastAsia" w:ascii="宋体" w:hAnsi="宋体" w:eastAsia="宋体" w:cs="宋体"/>
          <w:color w:val="auto"/>
          <w:spacing w:val="-5"/>
          <w:sz w:val="24"/>
          <w:szCs w:val="24"/>
        </w:rPr>
        <w:t>分</w:t>
      </w:r>
      <w:r>
        <w:rPr>
          <w:rFonts w:hint="eastAsia" w:ascii="宋体" w:hAnsi="宋体" w:eastAsia="宋体" w:cs="宋体"/>
          <w:color w:val="auto"/>
          <w:spacing w:val="-4"/>
          <w:sz w:val="24"/>
          <w:szCs w:val="24"/>
        </w:rPr>
        <w:t>；</w:t>
      </w:r>
    </w:p>
    <w:p>
      <w:pPr>
        <w:widowControl w:val="0"/>
        <w:kinsoku/>
        <w:autoSpaceDN/>
        <w:rPr>
          <w:rFonts w:ascii="宋体" w:hAnsi="宋体" w:eastAsia="宋体" w:cs="宋体"/>
          <w:color w:val="auto"/>
          <w:sz w:val="24"/>
          <w:szCs w:val="24"/>
        </w:rPr>
      </w:pPr>
      <w:r>
        <w:rPr>
          <w:rFonts w:hint="eastAsia" w:ascii="宋体" w:hAnsi="宋体" w:eastAsia="宋体" w:cs="宋体"/>
          <w:color w:val="auto"/>
          <w:spacing w:val="-2"/>
          <w:sz w:val="24"/>
          <w:szCs w:val="24"/>
        </w:rPr>
        <w:t>(5)学生社</w:t>
      </w:r>
      <w:r>
        <w:rPr>
          <w:rFonts w:hint="eastAsia" w:ascii="宋体" w:hAnsi="宋体" w:eastAsia="宋体" w:cs="宋体"/>
          <w:color w:val="auto"/>
          <w:spacing w:val="-1"/>
          <w:sz w:val="24"/>
          <w:szCs w:val="24"/>
        </w:rPr>
        <w:t>团主要负责人计</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1"/>
          <w:sz w:val="24"/>
          <w:szCs w:val="24"/>
        </w:rPr>
        <w:t>分，艺术团负责人、社团部门负责人计</w:t>
      </w:r>
      <w:r>
        <w:rPr>
          <w:rFonts w:hint="eastAsia" w:ascii="宋体" w:hAnsi="宋体" w:eastAsia="宋体" w:cs="宋体"/>
          <w:color w:val="auto"/>
          <w:spacing w:val="-1"/>
          <w:sz w:val="24"/>
          <w:szCs w:val="24"/>
          <w:lang w:val="en-US" w:eastAsia="zh-CN"/>
        </w:rPr>
        <w:t>8</w:t>
      </w:r>
      <w:r>
        <w:rPr>
          <w:rFonts w:hint="eastAsia" w:ascii="宋体" w:hAnsi="宋体" w:eastAsia="宋体" w:cs="宋体"/>
          <w:color w:val="auto"/>
          <w:spacing w:val="-1"/>
          <w:sz w:val="24"/>
          <w:szCs w:val="24"/>
        </w:rPr>
        <w:t>分，工作人员计</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分；</w:t>
      </w:r>
    </w:p>
    <w:p>
      <w:pPr>
        <w:widowControl w:val="0"/>
        <w:kinsoku/>
        <w:autoSpaceDN/>
        <w:spacing w:before="20"/>
        <w:rPr>
          <w:rFonts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4"/>
          <w:sz w:val="24"/>
          <w:szCs w:val="24"/>
        </w:rPr>
        <w:t>班长、团支书计</w:t>
      </w:r>
      <w:r>
        <w:rPr>
          <w:rFonts w:hint="eastAsia" w:ascii="宋体" w:hAnsi="宋体" w:eastAsia="宋体" w:cs="宋体"/>
          <w:color w:val="auto"/>
          <w:spacing w:val="-4"/>
          <w:sz w:val="24"/>
          <w:szCs w:val="24"/>
          <w:lang w:val="en-US" w:eastAsia="zh-CN"/>
        </w:rPr>
        <w:t>16</w:t>
      </w:r>
      <w:r>
        <w:rPr>
          <w:rFonts w:hint="eastAsia" w:ascii="宋体" w:hAnsi="宋体" w:eastAsia="宋体" w:cs="宋体"/>
          <w:color w:val="auto"/>
          <w:spacing w:val="-4"/>
          <w:sz w:val="24"/>
          <w:szCs w:val="24"/>
        </w:rPr>
        <w:t>分，班委、支委计</w:t>
      </w:r>
      <w:r>
        <w:rPr>
          <w:rFonts w:hint="eastAsia" w:ascii="宋体" w:hAnsi="宋体" w:eastAsia="宋体" w:cs="宋体"/>
          <w:color w:val="auto"/>
          <w:spacing w:val="-4"/>
          <w:sz w:val="24"/>
          <w:szCs w:val="24"/>
          <w:lang w:val="en-US" w:eastAsia="zh-CN"/>
        </w:rPr>
        <w:t>4</w:t>
      </w:r>
      <w:r>
        <w:rPr>
          <w:rFonts w:hint="eastAsia" w:ascii="宋体" w:hAnsi="宋体" w:eastAsia="宋体" w:cs="宋体"/>
          <w:color w:val="auto"/>
          <w:spacing w:val="-4"/>
          <w:sz w:val="24"/>
          <w:szCs w:val="24"/>
        </w:rPr>
        <w:t>分；</w:t>
      </w:r>
    </w:p>
    <w:p>
      <w:pPr>
        <w:widowControl w:val="0"/>
        <w:kinsoku/>
        <w:autoSpaceDN/>
        <w:spacing w:before="281"/>
        <w:ind w:firstLine="388" w:firstLineChars="200"/>
        <w:rPr>
          <w:rFonts w:hint="eastAsia" w:ascii="楷体" w:hAnsi="楷体" w:eastAsia="楷体" w:cs="楷体"/>
          <w:color w:val="auto"/>
          <w:spacing w:val="-4"/>
        </w:rPr>
      </w:pPr>
      <w:r>
        <w:rPr>
          <w:rFonts w:hint="eastAsia" w:ascii="楷体" w:hAnsi="楷体" w:eastAsia="楷体" w:cs="楷体"/>
          <w:color w:val="auto"/>
          <w:spacing w:val="-8"/>
        </w:rPr>
        <w:t>注：以上为</w:t>
      </w:r>
      <w:r>
        <w:rPr>
          <w:rFonts w:hint="eastAsia" w:ascii="楷体" w:hAnsi="楷体" w:eastAsia="楷体" w:cs="楷体"/>
          <w:color w:val="auto"/>
          <w:spacing w:val="-5"/>
        </w:rPr>
        <w:t>任</w:t>
      </w:r>
      <w:r>
        <w:rPr>
          <w:rFonts w:hint="eastAsia" w:ascii="楷体" w:hAnsi="楷体" w:eastAsia="楷体" w:cs="楷体"/>
          <w:color w:val="auto"/>
          <w:spacing w:val="-4"/>
        </w:rPr>
        <w:t>职满一年且考核合格 (按10个月计算) 的分值，实际分值的计算按评定区间内的任职时间按比例折算得分。院外任职均需提供主管单位发</w:t>
      </w:r>
      <w:r>
        <w:rPr>
          <w:rFonts w:hint="eastAsia" w:ascii="楷体" w:hAnsi="楷体" w:eastAsia="楷体" w:cs="楷体"/>
          <w:color w:val="auto"/>
          <w:spacing w:val="-8"/>
        </w:rPr>
        <w:t>文或签字盖章的证</w:t>
      </w:r>
      <w:r>
        <w:rPr>
          <w:rFonts w:hint="eastAsia" w:ascii="楷体" w:hAnsi="楷体" w:eastAsia="楷体" w:cs="楷体"/>
          <w:color w:val="auto"/>
          <w:spacing w:val="-7"/>
        </w:rPr>
        <w:t>明</w:t>
      </w:r>
      <w:r>
        <w:rPr>
          <w:rFonts w:hint="eastAsia" w:ascii="楷体" w:hAnsi="楷体" w:eastAsia="楷体" w:cs="楷体"/>
          <w:color w:val="auto"/>
          <w:spacing w:val="-4"/>
        </w:rPr>
        <w:t>材料。同一体系多个任职按最高的计算，不重复计分。</w:t>
      </w:r>
    </w:p>
    <w:p>
      <w:pPr>
        <w:rPr>
          <w:rFonts w:hint="default" w:ascii="仿宋" w:hAnsi="仿宋" w:eastAsia="仿宋"/>
          <w:color w:val="auto"/>
          <w:sz w:val="24"/>
          <w:szCs w:val="24"/>
          <w:lang w:val="en-US" w:eastAsia="zh-CN"/>
        </w:rPr>
      </w:pPr>
    </w:p>
    <w:sectPr>
      <w:headerReference r:id="rId5" w:type="default"/>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34AF46-682C-45AF-B86C-FB5FD3DC4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6A90F75-07BE-4BC3-BD91-8C6271B85C8E}"/>
  </w:font>
  <w:font w:name="仿宋_GB2312">
    <w:panose1 w:val="02010609030101010101"/>
    <w:charset w:val="86"/>
    <w:family w:val="modern"/>
    <w:pitch w:val="default"/>
    <w:sig w:usb0="00000001" w:usb1="080E0000" w:usb2="00000000" w:usb3="00000000" w:csb0="00040000" w:csb1="00000000"/>
    <w:embedRegular r:id="rId3" w:fontKey="{E579FF33-AECC-4A56-B6DE-208E9108B757}"/>
  </w:font>
  <w:font w:name="仿宋">
    <w:panose1 w:val="02010609060101010101"/>
    <w:charset w:val="86"/>
    <w:family w:val="modern"/>
    <w:pitch w:val="default"/>
    <w:sig w:usb0="800002BF" w:usb1="38CF7CFA" w:usb2="00000016" w:usb3="00000000" w:csb0="00040001" w:csb1="00000000"/>
    <w:embedRegular r:id="rId4" w:fontKey="{ADDED8C0-79A1-4E2C-9B28-09E1B54766ED}"/>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489D8932-C16C-47E8-B8F1-437E9CE03B8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0BDE5"/>
    <w:multiLevelType w:val="singleLevel"/>
    <w:tmpl w:val="9280BDE5"/>
    <w:lvl w:ilvl="0" w:tentative="0">
      <w:start w:val="1"/>
      <w:numFmt w:val="decimal"/>
      <w:suff w:val="space"/>
      <w:lvlText w:val="%1."/>
      <w:lvlJc w:val="left"/>
    </w:lvl>
  </w:abstractNum>
  <w:abstractNum w:abstractNumId="1">
    <w:nsid w:val="990475E6"/>
    <w:multiLevelType w:val="singleLevel"/>
    <w:tmpl w:val="990475E6"/>
    <w:lvl w:ilvl="0" w:tentative="0">
      <w:start w:val="1"/>
      <w:numFmt w:val="decimal"/>
      <w:suff w:val="space"/>
      <w:lvlText w:val="（%1）"/>
      <w:lvlJc w:val="left"/>
    </w:lvl>
  </w:abstractNum>
  <w:abstractNum w:abstractNumId="2">
    <w:nsid w:val="F9527F4C"/>
    <w:multiLevelType w:val="singleLevel"/>
    <w:tmpl w:val="F9527F4C"/>
    <w:lvl w:ilvl="0" w:tentative="0">
      <w:start w:val="1"/>
      <w:numFmt w:val="decimal"/>
      <w:suff w:val="space"/>
      <w:lvlText w:val="%1."/>
      <w:lvlJc w:val="left"/>
    </w:lvl>
  </w:abstractNum>
  <w:abstractNum w:abstractNumId="3">
    <w:nsid w:val="FF2470F7"/>
    <w:multiLevelType w:val="singleLevel"/>
    <w:tmpl w:val="FF2470F7"/>
    <w:lvl w:ilvl="0" w:tentative="0">
      <w:start w:val="1"/>
      <w:numFmt w:val="decimal"/>
      <w:suff w:val="nothing"/>
      <w:lvlText w:val="%1、"/>
      <w:lvlJc w:val="left"/>
    </w:lvl>
  </w:abstractNum>
  <w:abstractNum w:abstractNumId="4">
    <w:nsid w:val="28E10C9E"/>
    <w:multiLevelType w:val="multilevel"/>
    <w:tmpl w:val="28E10C9E"/>
    <w:lvl w:ilvl="0" w:tentative="0">
      <w:start w:val="1"/>
      <w:numFmt w:val="japaneseCounting"/>
      <w:lvlText w:val="%1、"/>
      <w:lvlJc w:val="left"/>
      <w:pPr>
        <w:ind w:left="1358" w:hanging="720"/>
      </w:pPr>
      <w:rPr>
        <w:rFonts w:hint="default"/>
      </w:rPr>
    </w:lvl>
    <w:lvl w:ilvl="1" w:tentative="0">
      <w:start w:val="1"/>
      <w:numFmt w:val="lowerLetter"/>
      <w:lvlText w:val="%2)"/>
      <w:lvlJc w:val="left"/>
      <w:pPr>
        <w:ind w:left="1478" w:hanging="420"/>
      </w:pPr>
    </w:lvl>
    <w:lvl w:ilvl="2" w:tentative="0">
      <w:start w:val="1"/>
      <w:numFmt w:val="lowerRoman"/>
      <w:lvlText w:val="%3."/>
      <w:lvlJc w:val="right"/>
      <w:pPr>
        <w:ind w:left="1898" w:hanging="420"/>
      </w:pPr>
    </w:lvl>
    <w:lvl w:ilvl="3" w:tentative="0">
      <w:start w:val="1"/>
      <w:numFmt w:val="decimal"/>
      <w:lvlText w:val="%4."/>
      <w:lvlJc w:val="left"/>
      <w:pPr>
        <w:ind w:left="2318" w:hanging="420"/>
      </w:pPr>
    </w:lvl>
    <w:lvl w:ilvl="4" w:tentative="0">
      <w:start w:val="1"/>
      <w:numFmt w:val="lowerLetter"/>
      <w:lvlText w:val="%5)"/>
      <w:lvlJc w:val="left"/>
      <w:pPr>
        <w:ind w:left="2738" w:hanging="420"/>
      </w:pPr>
    </w:lvl>
    <w:lvl w:ilvl="5" w:tentative="0">
      <w:start w:val="1"/>
      <w:numFmt w:val="lowerRoman"/>
      <w:lvlText w:val="%6."/>
      <w:lvlJc w:val="right"/>
      <w:pPr>
        <w:ind w:left="3158" w:hanging="420"/>
      </w:pPr>
    </w:lvl>
    <w:lvl w:ilvl="6" w:tentative="0">
      <w:start w:val="1"/>
      <w:numFmt w:val="decimal"/>
      <w:lvlText w:val="%7."/>
      <w:lvlJc w:val="left"/>
      <w:pPr>
        <w:ind w:left="3578" w:hanging="420"/>
      </w:pPr>
    </w:lvl>
    <w:lvl w:ilvl="7" w:tentative="0">
      <w:start w:val="1"/>
      <w:numFmt w:val="lowerLetter"/>
      <w:lvlText w:val="%8)"/>
      <w:lvlJc w:val="left"/>
      <w:pPr>
        <w:ind w:left="3998" w:hanging="420"/>
      </w:pPr>
    </w:lvl>
    <w:lvl w:ilvl="8" w:tentative="0">
      <w:start w:val="1"/>
      <w:numFmt w:val="lowerRoman"/>
      <w:lvlText w:val="%9."/>
      <w:lvlJc w:val="right"/>
      <w:pPr>
        <w:ind w:left="4418" w:hanging="420"/>
      </w:pPr>
    </w:lvl>
  </w:abstractNum>
  <w:abstractNum w:abstractNumId="5">
    <w:nsid w:val="29D1EA3D"/>
    <w:multiLevelType w:val="singleLevel"/>
    <w:tmpl w:val="29D1EA3D"/>
    <w:lvl w:ilvl="0" w:tentative="0">
      <w:start w:val="1"/>
      <w:numFmt w:val="decimal"/>
      <w:suff w:val="space"/>
      <w:lvlText w:val="%1."/>
      <w:lvlJc w:val="left"/>
    </w:lvl>
  </w:abstractNum>
  <w:abstractNum w:abstractNumId="6">
    <w:nsid w:val="699DD74C"/>
    <w:multiLevelType w:val="singleLevel"/>
    <w:tmpl w:val="699DD74C"/>
    <w:lvl w:ilvl="0" w:tentative="0">
      <w:start w:val="1"/>
      <w:numFmt w:val="decimal"/>
      <w:suff w:val="space"/>
      <w:lvlText w:val="%1."/>
      <w:lvlJc w:val="left"/>
      <w:rPr>
        <w:rFonts w:hint="default" w:ascii="楷体" w:hAnsi="楷体" w:eastAsia="楷体" w:cs="楷体"/>
        <w:sz w:val="21"/>
        <w:szCs w:val="21"/>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MWZlY2YzYWE5ZDAxZjg2ODlhZjEwMTRiZjUzMmQifQ=="/>
  </w:docVars>
  <w:rsids>
    <w:rsidRoot w:val="00726787"/>
    <w:rsid w:val="000F3D00"/>
    <w:rsid w:val="002153D1"/>
    <w:rsid w:val="00284676"/>
    <w:rsid w:val="00287324"/>
    <w:rsid w:val="002B3DBC"/>
    <w:rsid w:val="002D12FB"/>
    <w:rsid w:val="003A243E"/>
    <w:rsid w:val="003C0B9A"/>
    <w:rsid w:val="00401CC9"/>
    <w:rsid w:val="0043049E"/>
    <w:rsid w:val="00445094"/>
    <w:rsid w:val="0049500B"/>
    <w:rsid w:val="004B698D"/>
    <w:rsid w:val="004D6115"/>
    <w:rsid w:val="005C2F67"/>
    <w:rsid w:val="005D45D1"/>
    <w:rsid w:val="005F75F0"/>
    <w:rsid w:val="007221B0"/>
    <w:rsid w:val="00726787"/>
    <w:rsid w:val="007C2156"/>
    <w:rsid w:val="008175C0"/>
    <w:rsid w:val="00862EF1"/>
    <w:rsid w:val="0090065C"/>
    <w:rsid w:val="009A683A"/>
    <w:rsid w:val="00A568D4"/>
    <w:rsid w:val="00A92845"/>
    <w:rsid w:val="00BA4357"/>
    <w:rsid w:val="00BB48E9"/>
    <w:rsid w:val="00BF0118"/>
    <w:rsid w:val="00D33741"/>
    <w:rsid w:val="00D51CD6"/>
    <w:rsid w:val="00DA57A8"/>
    <w:rsid w:val="00EB026F"/>
    <w:rsid w:val="00EF080D"/>
    <w:rsid w:val="00F60BAD"/>
    <w:rsid w:val="00F871E4"/>
    <w:rsid w:val="020A62B3"/>
    <w:rsid w:val="03DE000A"/>
    <w:rsid w:val="06E758D1"/>
    <w:rsid w:val="07122C9A"/>
    <w:rsid w:val="077E7EE6"/>
    <w:rsid w:val="0D867A4C"/>
    <w:rsid w:val="0E8441B6"/>
    <w:rsid w:val="0E8B20B6"/>
    <w:rsid w:val="0F960798"/>
    <w:rsid w:val="0FD2411B"/>
    <w:rsid w:val="12C64289"/>
    <w:rsid w:val="14A0598C"/>
    <w:rsid w:val="152879A3"/>
    <w:rsid w:val="15A25C0B"/>
    <w:rsid w:val="167F52BB"/>
    <w:rsid w:val="1741763C"/>
    <w:rsid w:val="176913F1"/>
    <w:rsid w:val="180E1A8D"/>
    <w:rsid w:val="1A186A29"/>
    <w:rsid w:val="1D9421BD"/>
    <w:rsid w:val="1D961E2D"/>
    <w:rsid w:val="2618495C"/>
    <w:rsid w:val="29490873"/>
    <w:rsid w:val="2E7E6D1D"/>
    <w:rsid w:val="2F19277F"/>
    <w:rsid w:val="30442FE1"/>
    <w:rsid w:val="345368DE"/>
    <w:rsid w:val="35157CA8"/>
    <w:rsid w:val="36256C8C"/>
    <w:rsid w:val="387C1D99"/>
    <w:rsid w:val="3BDB65DB"/>
    <w:rsid w:val="3C190AF6"/>
    <w:rsid w:val="40FA495E"/>
    <w:rsid w:val="47EA3069"/>
    <w:rsid w:val="4907359F"/>
    <w:rsid w:val="4925565A"/>
    <w:rsid w:val="49CC66D5"/>
    <w:rsid w:val="4D245859"/>
    <w:rsid w:val="4E7942B1"/>
    <w:rsid w:val="4FED05BF"/>
    <w:rsid w:val="512E2848"/>
    <w:rsid w:val="5545304C"/>
    <w:rsid w:val="5A8D0CBE"/>
    <w:rsid w:val="5D577585"/>
    <w:rsid w:val="5E845EB7"/>
    <w:rsid w:val="5EE24840"/>
    <w:rsid w:val="632F5524"/>
    <w:rsid w:val="63A5145A"/>
    <w:rsid w:val="670C0EC0"/>
    <w:rsid w:val="67F325A4"/>
    <w:rsid w:val="690425E7"/>
    <w:rsid w:val="69DD71CC"/>
    <w:rsid w:val="72D9617A"/>
    <w:rsid w:val="735008A6"/>
    <w:rsid w:val="78603760"/>
    <w:rsid w:val="7C77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kern w:val="2"/>
      <w:sz w:val="21"/>
      <w:szCs w:val="21"/>
      <w:lang w:val="en-US"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0"/>
    <w:pPr>
      <w:tabs>
        <w:tab w:val="center" w:pos="4153"/>
        <w:tab w:val="right" w:pos="8306"/>
      </w:tabs>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cs="Times New Roman"/>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99"/>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样式62"/>
    <w:basedOn w:val="1"/>
    <w:qFormat/>
    <w:uiPriority w:val="0"/>
    <w:pPr>
      <w:jc w:val="center"/>
      <w:outlineLvl w:val="0"/>
    </w:pPr>
    <w:rPr>
      <w:rFonts w:ascii="黑体" w:hAnsi="宋体" w:eastAsia="黑体" w:cs="宋体"/>
      <w:sz w:val="30"/>
      <w:szCs w:val="30"/>
    </w:rPr>
  </w:style>
  <w:style w:type="character" w:customStyle="1" w:styleId="13">
    <w:name w:val="页脚 字符"/>
    <w:basedOn w:val="8"/>
    <w:link w:val="3"/>
    <w:qFormat/>
    <w:uiPriority w:val="0"/>
    <w:rPr>
      <w:rFonts w:ascii="Arial" w:hAnsi="Arial" w:eastAsia="Arial" w:cs="Arial"/>
      <w:snapToGrid w:val="0"/>
      <w:color w:val="000000"/>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13</Pages>
  <Words>856</Words>
  <Characters>4885</Characters>
  <Lines>40</Lines>
  <Paragraphs>11</Paragraphs>
  <TotalTime>1</TotalTime>
  <ScaleCrop>false</ScaleCrop>
  <LinksUpToDate>false</LinksUpToDate>
  <CharactersWithSpaces>5730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2023-09-10T21:33:00Z</dcterms:created>
  <dc:creator>2101</dc:creator>
  <cp:lastModifiedBy>予静</cp:lastModifiedBy>
  <dcterms:modified xsi:type="dcterms:W3CDTF">2023-10-23T04:10:41Z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BBC27526092F4C64A7670D22C31C8743_13</vt:lpwstr>
  </property>
</Properties>
</file>